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044"/>
        <w:gridCol w:w="3277"/>
        <w:gridCol w:w="3219"/>
      </w:tblGrid>
      <w:tr w:rsidR="00E86256" w:rsidRPr="00E6604E" w:rsidTr="00B40ED0">
        <w:trPr>
          <w:trHeight w:val="832"/>
        </w:trPr>
        <w:tc>
          <w:tcPr>
            <w:tcW w:w="2587" w:type="dxa"/>
            <w:tcBorders>
              <w:top w:val="single" w:sz="6" w:space="0" w:color="000000"/>
              <w:left w:val="single" w:sz="6" w:space="0" w:color="000000"/>
              <w:bottom w:val="single" w:sz="6" w:space="0" w:color="000000"/>
              <w:right w:val="nil"/>
            </w:tcBorders>
            <w:shd w:val="clear" w:color="auto" w:fill="FFFFFF"/>
            <w:tcMar>
              <w:top w:w="28" w:type="dxa"/>
              <w:left w:w="102" w:type="dxa"/>
              <w:bottom w:w="28" w:type="dxa"/>
              <w:right w:w="102" w:type="dxa"/>
            </w:tcMar>
            <w:vAlign w:val="center"/>
            <w:hideMark/>
          </w:tcPr>
          <w:bookmarkStart w:id="0" w:name="_Hlk115115669"/>
          <w:p w:rsidR="00E86256" w:rsidRPr="00E6604E" w:rsidRDefault="00E86256" w:rsidP="00B40ED0">
            <w:pPr>
              <w:widowControl w:val="0"/>
              <w:wordWrap w:val="0"/>
              <w:autoSpaceDE w:val="0"/>
              <w:autoSpaceDN w:val="0"/>
              <w:spacing w:line="384" w:lineRule="auto"/>
              <w:jc w:val="both"/>
              <w:textAlignment w:val="baseline"/>
              <w:rPr>
                <w:rFonts w:ascii="Times New Roman" w:hAnsi="Times New Roman" w:cs="Times New Roman"/>
              </w:rPr>
            </w:pPr>
            <w:r w:rsidRPr="00E6604E">
              <w:rPr>
                <w:rFonts w:ascii="Times New Roman" w:hAnsi="Times New Roman" w:cs="Times New Roman"/>
              </w:rPr>
              <w:fldChar w:fldCharType="begin"/>
            </w:r>
            <w:r w:rsidRPr="00E6604E">
              <w:rPr>
                <w:rFonts w:ascii="Times New Roman" w:hAnsi="Times New Roman" w:cs="Times New Roman"/>
              </w:rPr>
              <w:instrText xml:space="preserve"> INCLUDEPICTURE "https://www.mafra.go.kr/sites/home/images/img_MI_05.png" \* MERGEFORMATINET </w:instrText>
            </w:r>
            <w:r w:rsidRPr="00E6604E">
              <w:rPr>
                <w:rFonts w:ascii="Times New Roman" w:hAnsi="Times New Roman" w:cs="Times New Roman"/>
              </w:rPr>
              <w:fldChar w:fldCharType="separate"/>
            </w:r>
            <w:r w:rsidRPr="00E6604E">
              <w:rPr>
                <w:rFonts w:ascii="Times New Roman" w:hAnsi="Times New Roman" w:cs="Times New Roman"/>
                <w:noProof/>
              </w:rPr>
              <w:drawing>
                <wp:inline distT="0" distB="0" distL="0" distR="0" wp14:anchorId="0B8A64FE" wp14:editId="57511A72">
                  <wp:extent cx="1800870" cy="426720"/>
                  <wp:effectExtent l="0" t="0" r="2540" b="5080"/>
                  <wp:docPr id="1" name="그림 1" descr="Ministry of Agriculture, Food and Rural Affairs 가로조합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Agriculture, Food and Rural Affairs 가로조합 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0689" cy="445633"/>
                          </a:xfrm>
                          <a:prstGeom prst="rect">
                            <a:avLst/>
                          </a:prstGeom>
                          <a:noFill/>
                          <a:ln>
                            <a:noFill/>
                          </a:ln>
                        </pic:spPr>
                      </pic:pic>
                    </a:graphicData>
                  </a:graphic>
                </wp:inline>
              </w:drawing>
            </w:r>
            <w:r w:rsidRPr="00E6604E">
              <w:rPr>
                <w:rFonts w:ascii="Times New Roman" w:hAnsi="Times New Roman" w:cs="Times New Roman"/>
              </w:rPr>
              <w:fldChar w:fldCharType="end"/>
            </w:r>
          </w:p>
        </w:tc>
        <w:tc>
          <w:tcPr>
            <w:tcW w:w="3734" w:type="dxa"/>
            <w:tcBorders>
              <w:top w:val="single" w:sz="6" w:space="0" w:color="000000"/>
              <w:left w:val="nil"/>
              <w:bottom w:val="single" w:sz="6" w:space="0" w:color="000000"/>
              <w:right w:val="nil"/>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jc w:val="center"/>
              <w:rPr>
                <w:rFonts w:ascii="Times New Roman" w:hAnsi="Times New Roman" w:cs="Times New Roman"/>
              </w:rPr>
            </w:pPr>
            <w:r w:rsidRPr="00E6604E">
              <w:rPr>
                <w:rFonts w:ascii="Times New Roman" w:hAnsi="Times New Roman" w:cs="Times New Roman"/>
                <w:b/>
                <w:bCs/>
                <w:color w:val="808080" w:themeColor="background1" w:themeShade="80"/>
                <w:sz w:val="48"/>
              </w:rPr>
              <w:t>Press Release</w:t>
            </w:r>
          </w:p>
        </w:tc>
        <w:tc>
          <w:tcPr>
            <w:tcW w:w="3219" w:type="dxa"/>
            <w:tcBorders>
              <w:top w:val="single" w:sz="6" w:space="0" w:color="000000"/>
              <w:left w:val="nil"/>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widowControl w:val="0"/>
              <w:wordWrap w:val="0"/>
              <w:autoSpaceDE w:val="0"/>
              <w:autoSpaceDN w:val="0"/>
              <w:spacing w:line="384" w:lineRule="auto"/>
              <w:jc w:val="both"/>
              <w:textAlignment w:val="baseline"/>
              <w:rPr>
                <w:rFonts w:ascii="Times New Roman" w:eastAsia="굴림" w:hAnsi="Times New Roman" w:cs="Times New Roman"/>
                <w:color w:val="000000"/>
                <w:sz w:val="20"/>
                <w:szCs w:val="20"/>
              </w:rPr>
            </w:pPr>
            <w:r w:rsidRPr="00E6604E">
              <w:rPr>
                <w:rFonts w:ascii="Times New Roman" w:eastAsia="굴림" w:hAnsi="Times New Roman" w:cs="Times New Roman"/>
                <w:noProof/>
                <w:color w:val="000000"/>
                <w:sz w:val="20"/>
                <w:szCs w:val="20"/>
              </w:rPr>
              <w:drawing>
                <wp:inline distT="0" distB="0" distL="0" distR="0" wp14:anchorId="5D706DC4" wp14:editId="3D2FD6B0">
                  <wp:extent cx="1914525" cy="600075"/>
                  <wp:effectExtent l="0" t="0" r="0" b="0"/>
                  <wp:docPr id="5" name="그림 5"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텍스트이(가) 표시된 사진&#10;&#10;자동 생성된 설명"/>
                          <pic:cNvPicPr/>
                        </pic:nvPicPr>
                        <pic:blipFill>
                          <a:blip r:embed="rId5"/>
                          <a:stretch>
                            <a:fillRect/>
                          </a:stretch>
                        </pic:blipFill>
                        <pic:spPr>
                          <a:xfrm>
                            <a:off x="0" y="0"/>
                            <a:ext cx="1914525" cy="600075"/>
                          </a:xfrm>
                          <a:prstGeom prst="rect">
                            <a:avLst/>
                          </a:prstGeom>
                        </pic:spPr>
                      </pic:pic>
                    </a:graphicData>
                  </a:graphic>
                </wp:inline>
              </w:drawing>
            </w:r>
          </w:p>
          <w:p w:rsidR="00E86256" w:rsidRPr="00E6604E" w:rsidRDefault="00E86256" w:rsidP="00B40ED0">
            <w:pPr>
              <w:rPr>
                <w:rFonts w:ascii="Times New Roman" w:hAnsi="Times New Roman" w:cs="Times New Roman"/>
              </w:rPr>
            </w:pPr>
          </w:p>
        </w:tc>
      </w:tr>
      <w:bookmarkEnd w:id="0"/>
    </w:tbl>
    <w:p w:rsidR="00E86256" w:rsidRPr="00E6604E" w:rsidRDefault="00E86256" w:rsidP="00E86256">
      <w:pPr>
        <w:rPr>
          <w:rFonts w:ascii="Times New Roman" w:hAnsi="Times New Roman" w:cs="Times New Roman"/>
          <w:vanish/>
        </w:rPr>
      </w:pPr>
    </w:p>
    <w:tbl>
      <w:tblPr>
        <w:tblW w:w="9540"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5"/>
        <w:gridCol w:w="3133"/>
        <w:gridCol w:w="1560"/>
        <w:gridCol w:w="3452"/>
      </w:tblGrid>
      <w:tr w:rsidR="00E86256" w:rsidRPr="00E6604E" w:rsidTr="00B40ED0">
        <w:trPr>
          <w:trHeight w:val="801"/>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r w:rsidRPr="00E6604E">
              <w:rPr>
                <w:rFonts w:ascii="Times New Roman" w:hAnsi="Times New Roman" w:cs="Times New Roman"/>
                <w:bCs/>
                <w:sz w:val="20"/>
                <w:szCs w:val="20"/>
              </w:rPr>
              <w:t>Released</w:t>
            </w:r>
          </w:p>
        </w:tc>
        <w:tc>
          <w:tcPr>
            <w:tcW w:w="3133"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360" w:lineRule="auto"/>
              <w:rPr>
                <w:rFonts w:ascii="Times New Roman" w:hAnsi="Times New Roman" w:cs="Times New Roman"/>
                <w:sz w:val="20"/>
                <w:szCs w:val="20"/>
              </w:rPr>
            </w:pPr>
            <w:r>
              <w:rPr>
                <w:rFonts w:ascii="Times New Roman" w:hAnsi="Times New Roman" w:cs="Times New Roman"/>
                <w:bCs/>
                <w:sz w:val="20"/>
                <w:szCs w:val="20"/>
              </w:rPr>
              <w:t>1</w:t>
            </w:r>
            <w:r>
              <w:rPr>
                <w:rFonts w:ascii="Times New Roman" w:hAnsi="Times New Roman" w:cs="Times New Roman"/>
                <w:bCs/>
                <w:sz w:val="20"/>
                <w:szCs w:val="20"/>
              </w:rPr>
              <w:t>2</w:t>
            </w:r>
            <w:r w:rsidRPr="00E6604E">
              <w:rPr>
                <w:rFonts w:ascii="Times New Roman" w:hAnsi="Times New Roman" w:cs="Times New Roman"/>
                <w:bCs/>
                <w:sz w:val="20"/>
                <w:szCs w:val="20"/>
              </w:rPr>
              <w:t xml:space="preserve">:00, </w:t>
            </w:r>
            <w:r>
              <w:rPr>
                <w:rFonts w:ascii="Times New Roman" w:hAnsi="Times New Roman" w:cs="Times New Roman"/>
                <w:bCs/>
                <w:sz w:val="20"/>
                <w:szCs w:val="20"/>
              </w:rPr>
              <w:t>1</w:t>
            </w:r>
            <w:r>
              <w:rPr>
                <w:rFonts w:ascii="Times New Roman" w:hAnsi="Times New Roman" w:cs="Times New Roman"/>
                <w:bCs/>
                <w:sz w:val="20"/>
                <w:szCs w:val="20"/>
              </w:rPr>
              <w:t>6</w:t>
            </w:r>
            <w:r w:rsidRPr="00E6604E">
              <w:rPr>
                <w:rFonts w:ascii="Times New Roman" w:hAnsi="Times New Roman" w:cs="Times New Roman"/>
                <w:bCs/>
                <w:sz w:val="20"/>
                <w:szCs w:val="20"/>
              </w:rPr>
              <w:t xml:space="preserve"> February (</w:t>
            </w:r>
            <w:r>
              <w:rPr>
                <w:rFonts w:ascii="Times New Roman" w:hAnsi="Times New Roman" w:cs="Times New Roman"/>
                <w:bCs/>
                <w:sz w:val="20"/>
                <w:szCs w:val="20"/>
              </w:rPr>
              <w:t>T</w:t>
            </w:r>
            <w:r>
              <w:rPr>
                <w:rFonts w:ascii="Times New Roman" w:hAnsi="Times New Roman" w:cs="Times New Roman"/>
                <w:bCs/>
                <w:sz w:val="20"/>
                <w:szCs w:val="20"/>
              </w:rPr>
              <w:t>hu</w:t>
            </w:r>
            <w:r w:rsidRPr="00E6604E">
              <w:rPr>
                <w:rFonts w:ascii="Times New Roman" w:hAnsi="Times New Roman" w:cs="Times New Roman"/>
                <w:bCs/>
                <w:sz w:val="20"/>
                <w:szCs w:val="20"/>
              </w:rPr>
              <w:t xml:space="preserve">.) 2023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r w:rsidRPr="00E6604E">
              <w:rPr>
                <w:rFonts w:ascii="Times New Roman" w:hAnsi="Times New Roman" w:cs="Times New Roman"/>
                <w:sz w:val="20"/>
                <w:szCs w:val="20"/>
              </w:rPr>
              <w:t>Provided</w:t>
            </w:r>
          </w:p>
        </w:tc>
        <w:tc>
          <w:tcPr>
            <w:tcW w:w="3452"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360" w:lineRule="auto"/>
              <w:rPr>
                <w:rFonts w:ascii="Times New Roman" w:hAnsi="Times New Roman" w:cs="Times New Roman"/>
                <w:sz w:val="20"/>
                <w:szCs w:val="20"/>
                <w:lang w:val="en-US"/>
              </w:rPr>
            </w:pPr>
            <w:r>
              <w:rPr>
                <w:rFonts w:ascii="Times New Roman" w:hAnsi="Times New Roman" w:cs="Times New Roman"/>
                <w:bCs/>
                <w:sz w:val="20"/>
                <w:szCs w:val="20"/>
              </w:rPr>
              <w:t>18</w:t>
            </w:r>
            <w:r w:rsidRPr="00E6604E">
              <w:rPr>
                <w:rFonts w:ascii="Times New Roman" w:hAnsi="Times New Roman" w:cs="Times New Roman"/>
                <w:bCs/>
                <w:sz w:val="20"/>
                <w:szCs w:val="20"/>
              </w:rPr>
              <w:t xml:space="preserve">:00, </w:t>
            </w:r>
            <w:r>
              <w:rPr>
                <w:rFonts w:ascii="Times New Roman" w:hAnsi="Times New Roman" w:cs="Times New Roman"/>
                <w:bCs/>
                <w:sz w:val="20"/>
                <w:szCs w:val="20"/>
              </w:rPr>
              <w:t>14</w:t>
            </w:r>
            <w:r w:rsidRPr="00E6604E">
              <w:rPr>
                <w:rFonts w:ascii="Times New Roman" w:hAnsi="Times New Roman" w:cs="Times New Roman"/>
                <w:bCs/>
                <w:sz w:val="20"/>
                <w:szCs w:val="20"/>
              </w:rPr>
              <w:t xml:space="preserve"> February (</w:t>
            </w:r>
            <w:r>
              <w:rPr>
                <w:rFonts w:ascii="Times New Roman" w:hAnsi="Times New Roman" w:cs="Times New Roman"/>
                <w:bCs/>
                <w:sz w:val="20"/>
                <w:szCs w:val="20"/>
              </w:rPr>
              <w:t>Tue</w:t>
            </w:r>
            <w:r w:rsidRPr="00E6604E">
              <w:rPr>
                <w:rFonts w:ascii="Times New Roman" w:hAnsi="Times New Roman" w:cs="Times New Roman"/>
                <w:bCs/>
                <w:sz w:val="20"/>
                <w:szCs w:val="20"/>
              </w:rPr>
              <w:t>.) 2023</w:t>
            </w:r>
          </w:p>
        </w:tc>
      </w:tr>
    </w:tbl>
    <w:p w:rsidR="00E86256" w:rsidRPr="00E6604E" w:rsidRDefault="00E86256" w:rsidP="00E86256">
      <w:pPr>
        <w:spacing w:line="240" w:lineRule="auto"/>
        <w:rPr>
          <w:rFonts w:ascii="Times New Roman" w:hAnsi="Times New Roman" w:cs="Times New Roman"/>
          <w:vanish/>
          <w:sz w:val="20"/>
          <w:szCs w:val="20"/>
        </w:rPr>
      </w:pPr>
    </w:p>
    <w:tbl>
      <w:tblPr>
        <w:tblW w:w="9564"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6"/>
        <w:gridCol w:w="3132"/>
        <w:gridCol w:w="1560"/>
        <w:gridCol w:w="3449"/>
        <w:gridCol w:w="27"/>
      </w:tblGrid>
      <w:tr w:rsidR="00E86256" w:rsidRPr="00E6604E" w:rsidTr="00B40ED0">
        <w:trPr>
          <w:gridAfter w:val="1"/>
          <w:wAfter w:w="27" w:type="dxa"/>
          <w:trHeight w:val="421"/>
        </w:trPr>
        <w:tc>
          <w:tcPr>
            <w:tcW w:w="1396" w:type="dxa"/>
            <w:tcBorders>
              <w:top w:val="single" w:sz="6" w:space="0" w:color="000000"/>
              <w:left w:val="single" w:sz="6" w:space="0" w:color="000000"/>
              <w:bottom w:val="nil"/>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r w:rsidRPr="00E6604E">
              <w:rPr>
                <w:rFonts w:ascii="Times New Roman" w:hAnsi="Times New Roman" w:cs="Times New Roman"/>
                <w:sz w:val="20"/>
                <w:szCs w:val="20"/>
              </w:rPr>
              <w:t xml:space="preserve">Ministry </w:t>
            </w:r>
          </w:p>
        </w:tc>
        <w:tc>
          <w:tcPr>
            <w:tcW w:w="3132" w:type="dxa"/>
            <w:tcBorders>
              <w:top w:val="single" w:sz="6" w:space="0" w:color="000000"/>
              <w:left w:val="single" w:sz="6" w:space="0" w:color="000000"/>
              <w:bottom w:val="nil"/>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Food Industry</w:t>
            </w:r>
            <w:r w:rsidRPr="00E6604E">
              <w:rPr>
                <w:rFonts w:ascii="Times New Roman" w:hAnsi="Times New Roman" w:cs="Times New Roman"/>
                <w:sz w:val="20"/>
                <w:szCs w:val="20"/>
              </w:rPr>
              <w:t xml:space="preserve"> Policy Bureau</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r w:rsidRPr="00E6604E">
              <w:rPr>
                <w:rFonts w:ascii="Times New Roman" w:hAnsi="Times New Roman" w:cs="Times New Roman"/>
                <w:sz w:val="20"/>
                <w:szCs w:val="20"/>
              </w:rPr>
              <w:t>Director</w:t>
            </w:r>
          </w:p>
        </w:tc>
        <w:tc>
          <w:tcPr>
            <w:tcW w:w="3449"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r>
              <w:rPr>
                <w:rFonts w:ascii="Times New Roman" w:hAnsi="Times New Roman" w:cs="Times New Roman"/>
                <w:sz w:val="20"/>
                <w:szCs w:val="20"/>
                <w:lang w:val="en-US"/>
              </w:rPr>
              <w:t>Kim Ki-</w:t>
            </w:r>
            <w:proofErr w:type="spellStart"/>
            <w:r>
              <w:rPr>
                <w:rFonts w:ascii="Times New Roman" w:hAnsi="Times New Roman" w:cs="Times New Roman"/>
                <w:sz w:val="20"/>
                <w:szCs w:val="20"/>
                <w:lang w:val="en-US"/>
              </w:rPr>
              <w:t>yeon</w:t>
            </w:r>
            <w:proofErr w:type="spellEnd"/>
            <w:r w:rsidRPr="000537F2">
              <w:rPr>
                <w:rFonts w:ascii="Times New Roman" w:hAnsi="Times New Roman" w:cs="Times New Roman"/>
                <w:sz w:val="20"/>
                <w:szCs w:val="20"/>
              </w:rPr>
              <w:t xml:space="preserve"> (044-201-</w:t>
            </w:r>
            <w:r>
              <w:rPr>
                <w:rFonts w:ascii="Times New Roman" w:hAnsi="Times New Roman" w:cs="Times New Roman"/>
                <w:sz w:val="20"/>
                <w:szCs w:val="20"/>
              </w:rPr>
              <w:t>2</w:t>
            </w:r>
            <w:r w:rsidRPr="000537F2">
              <w:rPr>
                <w:rFonts w:ascii="Times New Roman" w:hAnsi="Times New Roman" w:cs="Times New Roman"/>
                <w:sz w:val="20"/>
                <w:szCs w:val="20"/>
              </w:rPr>
              <w:t>1</w:t>
            </w:r>
            <w:r>
              <w:rPr>
                <w:rFonts w:ascii="Times New Roman" w:hAnsi="Times New Roman" w:cs="Times New Roman"/>
                <w:sz w:val="20"/>
                <w:szCs w:val="20"/>
              </w:rPr>
              <w:t>3</w:t>
            </w:r>
            <w:r w:rsidRPr="000537F2">
              <w:rPr>
                <w:rFonts w:ascii="Times New Roman" w:hAnsi="Times New Roman" w:cs="Times New Roman"/>
                <w:sz w:val="20"/>
                <w:szCs w:val="20"/>
              </w:rPr>
              <w:t>1)</w:t>
            </w:r>
          </w:p>
        </w:tc>
      </w:tr>
      <w:tr w:rsidR="00E86256" w:rsidRPr="00E6604E" w:rsidTr="00B40ED0">
        <w:trPr>
          <w:gridAfter w:val="1"/>
          <w:wAfter w:w="27" w:type="dxa"/>
          <w:trHeight w:val="409"/>
        </w:trPr>
        <w:tc>
          <w:tcPr>
            <w:tcW w:w="1396" w:type="dxa"/>
            <w:tcBorders>
              <w:top w:val="nil"/>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p>
        </w:tc>
        <w:tc>
          <w:tcPr>
            <w:tcW w:w="3132" w:type="dxa"/>
            <w:tcBorders>
              <w:top w:val="nil"/>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hd w:val="clear" w:color="auto" w:fill="FFFFFF"/>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Green Bio Industry</w:t>
            </w:r>
            <w:r w:rsidRPr="00E6604E">
              <w:rPr>
                <w:rFonts w:ascii="Times New Roman" w:hAnsi="Times New Roman" w:cs="Times New Roman"/>
                <w:sz w:val="20"/>
                <w:szCs w:val="20"/>
              </w:rPr>
              <w:t xml:space="preserve"> Team</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r>
              <w:rPr>
                <w:rFonts w:ascii="Times New Roman" w:hAnsi="Times New Roman" w:cs="Times New Roman"/>
                <w:sz w:val="20"/>
                <w:szCs w:val="20"/>
              </w:rPr>
              <w:t xml:space="preserve">Senior </w:t>
            </w:r>
            <w:r w:rsidRPr="00E6604E">
              <w:rPr>
                <w:rFonts w:ascii="Times New Roman" w:hAnsi="Times New Roman" w:cs="Times New Roman"/>
                <w:sz w:val="20"/>
                <w:szCs w:val="20"/>
              </w:rPr>
              <w:t>Deputy Director</w:t>
            </w:r>
          </w:p>
        </w:tc>
        <w:tc>
          <w:tcPr>
            <w:tcW w:w="3449" w:type="dxa"/>
            <w:tcBorders>
              <w:top w:val="single" w:sz="6" w:space="0" w:color="000000"/>
              <w:left w:val="single" w:sz="6" w:space="0" w:color="000000"/>
              <w:bottom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6604E" w:rsidRDefault="00E86256" w:rsidP="00B40ED0">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Yoo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Dae-yeol</w:t>
            </w:r>
            <w:proofErr w:type="spellEnd"/>
            <w:r>
              <w:rPr>
                <w:rFonts w:ascii="Times New Roman" w:hAnsi="Times New Roman" w:cs="Times New Roman"/>
                <w:sz w:val="20"/>
                <w:szCs w:val="20"/>
              </w:rPr>
              <w:t xml:space="preserve"> </w:t>
            </w:r>
            <w:r w:rsidRPr="000537F2">
              <w:rPr>
                <w:rFonts w:ascii="Times New Roman" w:hAnsi="Times New Roman" w:cs="Times New Roman"/>
                <w:sz w:val="20"/>
                <w:szCs w:val="20"/>
              </w:rPr>
              <w:t>(044-201-</w:t>
            </w:r>
            <w:r>
              <w:rPr>
                <w:rFonts w:ascii="Times New Roman" w:hAnsi="Times New Roman" w:cs="Times New Roman"/>
                <w:sz w:val="20"/>
                <w:szCs w:val="20"/>
              </w:rPr>
              <w:t>2137</w:t>
            </w:r>
            <w:r w:rsidRPr="000537F2">
              <w:rPr>
                <w:rFonts w:ascii="Times New Roman" w:hAnsi="Times New Roman" w:cs="Times New Roman"/>
                <w:sz w:val="20"/>
                <w:szCs w:val="20"/>
              </w:rPr>
              <w:t>)</w:t>
            </w:r>
          </w:p>
        </w:tc>
      </w:tr>
      <w:tr w:rsidR="00E86256" w:rsidRPr="00E6604E" w:rsidTr="00B40ED0">
        <w:trPr>
          <w:trHeight w:val="1675"/>
        </w:trPr>
        <w:tc>
          <w:tcPr>
            <w:tcW w:w="9564" w:type="dxa"/>
            <w:gridSpan w:val="5"/>
            <w:tcBorders>
              <w:top w:val="single" w:sz="6" w:space="0" w:color="000000"/>
              <w:left w:val="single" w:sz="6" w:space="0" w:color="000000"/>
              <w:right w:val="single" w:sz="6" w:space="0" w:color="000000"/>
            </w:tcBorders>
            <w:shd w:val="clear" w:color="auto" w:fill="FFFFFF"/>
            <w:tcMar>
              <w:top w:w="28" w:type="dxa"/>
              <w:left w:w="102" w:type="dxa"/>
              <w:bottom w:w="28" w:type="dxa"/>
              <w:right w:w="102" w:type="dxa"/>
            </w:tcMar>
            <w:vAlign w:val="center"/>
            <w:hideMark/>
          </w:tcPr>
          <w:p w:rsidR="00E86256" w:rsidRPr="00E86256" w:rsidRDefault="00E86256" w:rsidP="00E86256">
            <w:pPr>
              <w:widowControl w:val="0"/>
              <w:autoSpaceDE w:val="0"/>
              <w:autoSpaceDN w:val="0"/>
              <w:spacing w:line="348" w:lineRule="auto"/>
              <w:ind w:right="46"/>
              <w:jc w:val="center"/>
              <w:textAlignment w:val="baseline"/>
              <w:rPr>
                <w:rFonts w:ascii="Times New Roman" w:hAnsi="Times New Roman" w:cs="Times New Roman" w:hint="eastAsia"/>
                <w:b/>
                <w:bCs/>
                <w:sz w:val="32"/>
              </w:rPr>
            </w:pPr>
            <w:r>
              <w:rPr>
                <w:rFonts w:ascii="Times New Roman" w:hAnsi="Times New Roman" w:cs="Times New Roman"/>
                <w:b/>
                <w:bCs/>
                <w:sz w:val="32"/>
              </w:rPr>
              <w:t xml:space="preserve"> </w:t>
            </w:r>
            <w:r w:rsidRPr="00E86256">
              <w:rPr>
                <w:rFonts w:ascii="Times New Roman" w:hAnsi="Times New Roman" w:cs="Times New Roman"/>
                <w:b/>
                <w:bCs/>
                <w:sz w:val="32"/>
              </w:rPr>
              <w:t xml:space="preserve">Leading Future Growth of Agricultural Industry with </w:t>
            </w:r>
            <w:proofErr w:type="gramStart"/>
            <w:r w:rsidRPr="00E86256">
              <w:rPr>
                <w:rFonts w:ascii="Times New Roman" w:hAnsi="Times New Roman" w:cs="Times New Roman"/>
                <w:b/>
                <w:bCs/>
                <w:sz w:val="32"/>
              </w:rPr>
              <w:t>Green-bio</w:t>
            </w:r>
            <w:proofErr w:type="gramEnd"/>
          </w:p>
          <w:p w:rsidR="00E86256" w:rsidRPr="00E86256" w:rsidRDefault="00E86256" w:rsidP="00E86256">
            <w:pPr>
              <w:widowControl w:val="0"/>
              <w:autoSpaceDE w:val="0"/>
              <w:autoSpaceDN w:val="0"/>
              <w:spacing w:line="348" w:lineRule="auto"/>
              <w:ind w:right="46"/>
              <w:jc w:val="center"/>
              <w:textAlignment w:val="baseline"/>
              <w:rPr>
                <w:rFonts w:ascii="Times New Roman" w:eastAsia="Times New Roman" w:hAnsi="Times New Roman" w:cs="Times New Roman"/>
                <w:b/>
              </w:rPr>
            </w:pPr>
            <w:r w:rsidRPr="00E6604E">
              <w:rPr>
                <w:rFonts w:ascii="Times New Roman" w:hAnsi="Times New Roman" w:cs="Times New Roman"/>
                <w:b/>
                <w:bCs/>
                <w:lang w:val="en-US"/>
              </w:rPr>
              <w:t xml:space="preserve">- </w:t>
            </w:r>
            <w:r w:rsidRPr="00E86256">
              <w:rPr>
                <w:rFonts w:ascii="Times New Roman" w:eastAsia="Times New Roman" w:hAnsi="Times New Roman" w:cs="Times New Roman"/>
                <w:b/>
              </w:rPr>
              <w:t>MAFRA Announced Strategy to Foster Green-bio Industry</w:t>
            </w:r>
            <w:r>
              <w:rPr>
                <w:rFonts w:ascii="Times New Roman" w:eastAsia="Times New Roman" w:hAnsi="Times New Roman" w:cs="Times New Roman" w:hint="eastAsia"/>
                <w:b/>
              </w:rPr>
              <w:t xml:space="preserve"> </w:t>
            </w:r>
            <w:r w:rsidRPr="00E6604E">
              <w:rPr>
                <w:rFonts w:ascii="Times New Roman" w:hAnsi="Times New Roman" w:cs="Times New Roman"/>
                <w:b/>
                <w:bCs/>
                <w:lang w:val="en-US"/>
              </w:rPr>
              <w:t>-</w:t>
            </w:r>
          </w:p>
          <w:p w:rsidR="00E86256" w:rsidRPr="00E6604E" w:rsidRDefault="00E86256" w:rsidP="00B40ED0">
            <w:pPr>
              <w:widowControl w:val="0"/>
              <w:autoSpaceDE w:val="0"/>
              <w:autoSpaceDN w:val="0"/>
              <w:spacing w:line="348" w:lineRule="auto"/>
              <w:ind w:right="46"/>
              <w:jc w:val="center"/>
              <w:textAlignment w:val="baseline"/>
              <w:rPr>
                <w:rFonts w:ascii="Times New Roman" w:hAnsi="Times New Roman" w:cs="Times New Roman"/>
                <w:b/>
                <w:bCs/>
                <w:lang w:val="en-US"/>
              </w:rPr>
            </w:pPr>
          </w:p>
        </w:tc>
      </w:tr>
    </w:tbl>
    <w:p w:rsidR="000E55EB" w:rsidRPr="00E86256" w:rsidRDefault="000E55EB">
      <w:pPr>
        <w:rPr>
          <w:rFonts w:ascii="Times New Roman" w:eastAsia="Times New Roman" w:hAnsi="Times New Roman" w:cs="Times New Roman"/>
        </w:rPr>
      </w:pPr>
    </w:p>
    <w:p w:rsidR="000E55EB" w:rsidRDefault="00963F86" w:rsidP="00E86256">
      <w:pPr>
        <w:spacing w:line="360" w:lineRule="auto"/>
        <w:jc w:val="center"/>
        <w:rPr>
          <w:rFonts w:ascii="Times New Roman" w:eastAsia="Times New Roman" w:hAnsi="Times New Roman" w:cs="Times New Roman"/>
          <w:b/>
          <w:bCs/>
        </w:rPr>
      </w:pPr>
      <w:r w:rsidRPr="00E86256">
        <w:rPr>
          <w:rFonts w:ascii="Times New Roman" w:eastAsia="Times New Roman" w:hAnsi="Times New Roman" w:cs="Times New Roman"/>
          <w:b/>
          <w:bCs/>
        </w:rPr>
        <w:t>Summary</w:t>
      </w:r>
    </w:p>
    <w:p w:rsidR="00E86256" w:rsidRPr="00E86256" w:rsidRDefault="00E86256" w:rsidP="00E86256">
      <w:pPr>
        <w:spacing w:line="360" w:lineRule="auto"/>
        <w:jc w:val="center"/>
        <w:rPr>
          <w:rFonts w:ascii="Times New Roman" w:eastAsia="Times New Roman" w:hAnsi="Times New Roman" w:cs="Times New Roman" w:hint="eastAsia"/>
          <w:b/>
          <w:bCs/>
        </w:rPr>
      </w:pPr>
      <w:bookmarkStart w:id="1" w:name="_GoBack"/>
      <w:bookmarkEnd w:id="1"/>
    </w:p>
    <w:p w:rsidR="000E55EB" w:rsidRPr="00E86256" w:rsidRDefault="00963F86" w:rsidP="00E86256">
      <w:pPr>
        <w:spacing w:line="360" w:lineRule="auto"/>
        <w:jc w:val="both"/>
        <w:rPr>
          <w:rFonts w:ascii="Times New Roman" w:eastAsia="Times New Roman" w:hAnsi="Times New Roman" w:cs="Times New Roman" w:hint="eastAsia"/>
        </w:rPr>
      </w:pPr>
      <w:r w:rsidRPr="00E86256">
        <w:rPr>
          <w:rFonts w:ascii="Times New Roman" w:eastAsia="Times New Roman" w:hAnsi="Times New Roman" w:cs="Times New Roman"/>
        </w:rPr>
        <w:t>□ MAFRA announced the “Strategy to Foster Green-bio Industry</w:t>
      </w:r>
      <w:r w:rsidR="00E86256">
        <w:rPr>
          <w:rFonts w:ascii="Times New Roman" w:eastAsia="Times New Roman" w:hAnsi="Times New Roman" w:cs="Times New Roman"/>
        </w:rPr>
        <w:t>.</w:t>
      </w:r>
      <w:r w:rsidRPr="00E86256">
        <w:rPr>
          <w:rFonts w:ascii="Times New Roman" w:eastAsia="Times New Roman" w:hAnsi="Times New Roman" w:cs="Times New Roman"/>
        </w:rPr>
        <w:t>”</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Promoting the green-bio industry’s growth will open up new opportunities for agricultural and food industries to create high added value. The strategy focuses on expanding export, achieving carbon neutrality and enhancing productivity by fostering companie</w:t>
      </w:r>
      <w:r w:rsidRPr="00E86256">
        <w:rPr>
          <w:rFonts w:ascii="Times New Roman" w:eastAsia="Times New Roman" w:hAnsi="Times New Roman" w:cs="Times New Roman"/>
        </w:rPr>
        <w:t xml:space="preserve">s with global competitiveness.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궁서" w:hAnsi="Times New Roman" w:cs="Times New Roman"/>
        </w:rPr>
        <w:t xml:space="preserve">□ The strategy aims to grow the domestic market to 10 trillion won by 2027, achieve export volume of 5 trillion won and nurture 15 large-scale global unicorns. To this end, three key implementation plans have been devised: </w:t>
      </w:r>
      <w:r w:rsidRPr="00E86256">
        <w:rPr>
          <w:rFonts w:ascii="Cambria Math" w:eastAsia="궁서" w:hAnsi="Cambria Math" w:cs="Cambria Math"/>
        </w:rPr>
        <w:t>①</w:t>
      </w:r>
      <w:r w:rsidRPr="00E86256">
        <w:rPr>
          <w:rFonts w:ascii="Times New Roman" w:eastAsia="궁서" w:hAnsi="Times New Roman" w:cs="Times New Roman"/>
        </w:rPr>
        <w:t xml:space="preserve">Promoting the industry’s growth, </w:t>
      </w:r>
      <w:r w:rsidRPr="00E86256">
        <w:rPr>
          <w:rFonts w:ascii="Cambria Math" w:eastAsia="궁서" w:hAnsi="Cambria Math" w:cs="Cambria Math"/>
        </w:rPr>
        <w:t>②</w:t>
      </w:r>
      <w:r w:rsidRPr="00E86256">
        <w:rPr>
          <w:rFonts w:ascii="Times New Roman" w:eastAsia="궁서" w:hAnsi="Times New Roman" w:cs="Times New Roman"/>
        </w:rPr>
        <w:t xml:space="preserve">Developing innovative technologies and nurturing human resources, and </w:t>
      </w:r>
      <w:r w:rsidRPr="00E86256">
        <w:rPr>
          <w:rFonts w:ascii="Cambria Math" w:eastAsia="궁서" w:hAnsi="Cambria Math" w:cs="Cambria Math"/>
        </w:rPr>
        <w:t>③</w:t>
      </w:r>
      <w:r w:rsidRPr="00E86256">
        <w:rPr>
          <w:rFonts w:ascii="Times New Roman" w:eastAsia="궁서" w:hAnsi="Times New Roman" w:cs="Times New Roman"/>
        </w:rPr>
        <w:t xml:space="preserve">Establishing a sound ecosystem for the industry.  </w:t>
      </w:r>
    </w:p>
    <w:p w:rsidR="000E55EB" w:rsidRPr="00E86256" w:rsidRDefault="000E55EB" w:rsidP="00E86256">
      <w:pPr>
        <w:spacing w:line="360" w:lineRule="auto"/>
        <w:jc w:val="both"/>
        <w:rPr>
          <w:rFonts w:ascii="Times New Roman" w:eastAsia="Times New Roman" w:hAnsi="Times New Roman" w:cs="Times New Roman"/>
        </w:rPr>
      </w:pPr>
    </w:p>
    <w:tbl>
      <w:tblPr>
        <w:tblStyle w:val="a5"/>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6645"/>
      </w:tblGrid>
      <w:tr w:rsidR="000E55EB" w:rsidRPr="00E86256">
        <w:trPr>
          <w:trHeight w:val="503"/>
        </w:trPr>
        <w:tc>
          <w:tcPr>
            <w:tcW w:w="271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b/>
              </w:rPr>
            </w:pPr>
            <w:r w:rsidRPr="00E86256">
              <w:rPr>
                <w:rFonts w:ascii="Times New Roman" w:eastAsia="Times New Roman" w:hAnsi="Times New Roman" w:cs="Times New Roman"/>
                <w:b/>
              </w:rPr>
              <w:t>Three Key Implementation Plans</w:t>
            </w:r>
          </w:p>
        </w:tc>
        <w:tc>
          <w:tcPr>
            <w:tcW w:w="664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b/>
              </w:rPr>
            </w:pPr>
            <w:r w:rsidRPr="00E86256">
              <w:rPr>
                <w:rFonts w:ascii="Times New Roman" w:eastAsia="Times New Roman" w:hAnsi="Times New Roman" w:cs="Times New Roman"/>
                <w:b/>
              </w:rPr>
              <w:t xml:space="preserve">Major Tasks </w:t>
            </w:r>
          </w:p>
        </w:tc>
      </w:tr>
      <w:tr w:rsidR="000E55EB" w:rsidRPr="00E86256">
        <w:tc>
          <w:tcPr>
            <w:tcW w:w="271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rPr>
            </w:pPr>
            <w:r w:rsidRPr="00E86256">
              <w:rPr>
                <w:rFonts w:ascii="Times New Roman" w:eastAsia="Times New Roman" w:hAnsi="Times New Roman" w:cs="Times New Roman"/>
              </w:rPr>
              <w:t>1.Promoting the industry’s growth</w:t>
            </w:r>
          </w:p>
          <w:p w:rsidR="000E55EB" w:rsidRPr="00E86256" w:rsidRDefault="000E55EB" w:rsidP="00E86256">
            <w:pPr>
              <w:widowControl w:val="0"/>
              <w:jc w:val="both"/>
              <w:rPr>
                <w:rFonts w:ascii="Times New Roman" w:eastAsia="Times New Roman" w:hAnsi="Times New Roman" w:cs="Times New Roman"/>
              </w:rPr>
            </w:pPr>
          </w:p>
        </w:tc>
        <w:tc>
          <w:tcPr>
            <w:tcW w:w="664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rPr>
            </w:pPr>
            <w:r w:rsidRPr="00E86256">
              <w:rPr>
                <w:rFonts w:ascii="Cambria Math" w:eastAsia="궁서" w:hAnsi="Cambria Math" w:cs="Cambria Math"/>
              </w:rPr>
              <w:t>①</w:t>
            </w:r>
            <w:r w:rsidRPr="00E86256">
              <w:rPr>
                <w:rFonts w:ascii="Times New Roman" w:eastAsia="궁서" w:hAnsi="Times New Roman" w:cs="Times New Roman"/>
              </w:rPr>
              <w:t xml:space="preserve"> Expanding funds and investment dedicated to green-bio startups  </w:t>
            </w:r>
          </w:p>
          <w:p w:rsidR="000E55EB" w:rsidRPr="00E86256" w:rsidRDefault="00963F86" w:rsidP="00E86256">
            <w:pPr>
              <w:widowControl w:val="0"/>
              <w:jc w:val="both"/>
              <w:rPr>
                <w:rFonts w:ascii="Times New Roman" w:eastAsia="Times New Roman" w:hAnsi="Times New Roman" w:cs="Times New Roman"/>
              </w:rPr>
            </w:pPr>
            <w:r w:rsidRPr="00E86256">
              <w:rPr>
                <w:rFonts w:ascii="Cambria Math" w:eastAsia="궁서" w:hAnsi="Cambria Math" w:cs="Cambria Math"/>
              </w:rPr>
              <w:t>②</w:t>
            </w:r>
            <w:r w:rsidRPr="00E86256">
              <w:rPr>
                <w:rFonts w:ascii="Times New Roman" w:eastAsia="궁서" w:hAnsi="Times New Roman" w:cs="Times New Roman"/>
              </w:rPr>
              <w:t xml:space="preserve"> Fostering 6 green-bio hubs </w:t>
            </w:r>
            <w:r w:rsidRPr="00E86256">
              <w:rPr>
                <w:rFonts w:ascii="Cambria Math" w:eastAsia="궁서" w:hAnsi="Cambria Math" w:cs="Cambria Math"/>
              </w:rPr>
              <w:t>③</w:t>
            </w:r>
            <w:r w:rsidRPr="00E86256">
              <w:rPr>
                <w:rFonts w:ascii="Times New Roman" w:eastAsia="궁서" w:hAnsi="Times New Roman" w:cs="Times New Roman"/>
              </w:rPr>
              <w:t xml:space="preserve"> Advancing material supply system </w:t>
            </w:r>
          </w:p>
          <w:p w:rsidR="000E55EB" w:rsidRPr="00E86256" w:rsidRDefault="00963F86" w:rsidP="00E86256">
            <w:pPr>
              <w:widowControl w:val="0"/>
              <w:jc w:val="both"/>
              <w:rPr>
                <w:rFonts w:ascii="Times New Roman" w:eastAsia="Times New Roman" w:hAnsi="Times New Roman" w:cs="Times New Roman"/>
              </w:rPr>
            </w:pPr>
            <w:r w:rsidRPr="00E86256">
              <w:rPr>
                <w:rFonts w:ascii="Cambria Math" w:eastAsia="궁서" w:hAnsi="Cambria Math" w:cs="Cambria Math"/>
              </w:rPr>
              <w:t>④</w:t>
            </w:r>
            <w:r w:rsidRPr="00E86256">
              <w:rPr>
                <w:rFonts w:ascii="Times New Roman" w:eastAsia="궁서" w:hAnsi="Times New Roman" w:cs="Times New Roman"/>
              </w:rPr>
              <w:t xml:space="preserve"> Supporting entry into overseas markets and creating demands in the private sector  </w:t>
            </w:r>
          </w:p>
        </w:tc>
      </w:tr>
      <w:tr w:rsidR="000E55EB" w:rsidRPr="00E86256">
        <w:tc>
          <w:tcPr>
            <w:tcW w:w="271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rPr>
            </w:pPr>
            <w:r w:rsidRPr="00E86256">
              <w:rPr>
                <w:rFonts w:ascii="Times New Roman" w:eastAsia="Times New Roman" w:hAnsi="Times New Roman" w:cs="Times New Roman"/>
              </w:rPr>
              <w:t>2.</w:t>
            </w:r>
            <w:r w:rsidRPr="00E86256">
              <w:rPr>
                <w:rFonts w:ascii="Times New Roman" w:eastAsia="Times New Roman" w:hAnsi="Times New Roman" w:cs="Times New Roman"/>
              </w:rPr>
              <w:t xml:space="preserve">Developing innovative technologies and nurturing </w:t>
            </w:r>
            <w:r w:rsidRPr="00E86256">
              <w:rPr>
                <w:rFonts w:ascii="Times New Roman" w:eastAsia="Times New Roman" w:hAnsi="Times New Roman" w:cs="Times New Roman"/>
              </w:rPr>
              <w:lastRenderedPageBreak/>
              <w:t xml:space="preserve">human resources </w:t>
            </w:r>
          </w:p>
        </w:tc>
        <w:tc>
          <w:tcPr>
            <w:tcW w:w="664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rPr>
            </w:pPr>
            <w:r w:rsidRPr="00E86256">
              <w:rPr>
                <w:rFonts w:ascii="Cambria Math" w:eastAsia="궁서" w:hAnsi="Cambria Math" w:cs="Cambria Math"/>
              </w:rPr>
              <w:lastRenderedPageBreak/>
              <w:t>①</w:t>
            </w:r>
            <w:r w:rsidRPr="00E86256">
              <w:rPr>
                <w:rFonts w:ascii="Times New Roman" w:eastAsia="궁서" w:hAnsi="Times New Roman" w:cs="Times New Roman"/>
              </w:rPr>
              <w:t xml:space="preserve"> Expanding R&amp;D in 12 key technologies </w:t>
            </w:r>
          </w:p>
          <w:p w:rsidR="000E55EB" w:rsidRPr="00E86256" w:rsidRDefault="00963F86" w:rsidP="00E86256">
            <w:pPr>
              <w:widowControl w:val="0"/>
              <w:jc w:val="both"/>
              <w:rPr>
                <w:rFonts w:ascii="Times New Roman" w:eastAsia="Times New Roman" w:hAnsi="Times New Roman" w:cs="Times New Roman" w:hint="eastAsia"/>
              </w:rPr>
            </w:pPr>
            <w:r w:rsidRPr="00E86256">
              <w:rPr>
                <w:rFonts w:ascii="Cambria Math" w:eastAsia="궁서" w:hAnsi="Cambria Math" w:cs="Cambria Math"/>
              </w:rPr>
              <w:t>②</w:t>
            </w:r>
            <w:r w:rsidRPr="00E86256">
              <w:rPr>
                <w:rFonts w:ascii="Times New Roman" w:eastAsia="궁서" w:hAnsi="Times New Roman" w:cs="Times New Roman"/>
              </w:rPr>
              <w:t xml:space="preserve"> Nurturing human resources for convergence   </w:t>
            </w:r>
            <w:r w:rsidRPr="00E86256">
              <w:rPr>
                <w:rFonts w:ascii="Cambria Math" w:eastAsia="궁서" w:hAnsi="Cambria Math" w:cs="Cambria Math"/>
              </w:rPr>
              <w:t>③</w:t>
            </w:r>
            <w:r w:rsidRPr="00E86256">
              <w:rPr>
                <w:rFonts w:ascii="Times New Roman" w:eastAsia="궁서" w:hAnsi="Times New Roman" w:cs="Times New Roman"/>
              </w:rPr>
              <w:t xml:space="preserve"> Fostering venture </w:t>
            </w:r>
            <w:r w:rsidRPr="00E86256">
              <w:rPr>
                <w:rFonts w:ascii="Times New Roman" w:eastAsia="궁서" w:hAnsi="Times New Roman" w:cs="Times New Roman"/>
              </w:rPr>
              <w:lastRenderedPageBreak/>
              <w:t xml:space="preserve">businesses and startups </w:t>
            </w:r>
          </w:p>
        </w:tc>
      </w:tr>
      <w:tr w:rsidR="000E55EB" w:rsidRPr="00E86256">
        <w:tc>
          <w:tcPr>
            <w:tcW w:w="271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rPr>
            </w:pPr>
            <w:r w:rsidRPr="00E86256">
              <w:rPr>
                <w:rFonts w:ascii="Times New Roman" w:eastAsia="Times New Roman" w:hAnsi="Times New Roman" w:cs="Times New Roman"/>
              </w:rPr>
              <w:lastRenderedPageBreak/>
              <w:t>3.Establishing a sound ecosystem for the industry</w:t>
            </w:r>
          </w:p>
        </w:tc>
        <w:tc>
          <w:tcPr>
            <w:tcW w:w="6645" w:type="dxa"/>
            <w:shd w:val="clear" w:color="auto" w:fill="auto"/>
            <w:tcMar>
              <w:top w:w="100" w:type="dxa"/>
              <w:left w:w="100" w:type="dxa"/>
              <w:bottom w:w="100" w:type="dxa"/>
              <w:right w:w="100" w:type="dxa"/>
            </w:tcMar>
          </w:tcPr>
          <w:p w:rsidR="000E55EB" w:rsidRPr="00E86256" w:rsidRDefault="00963F86" w:rsidP="00E86256">
            <w:pPr>
              <w:widowControl w:val="0"/>
              <w:jc w:val="both"/>
              <w:rPr>
                <w:rFonts w:ascii="Times New Roman" w:eastAsia="Times New Roman" w:hAnsi="Times New Roman" w:cs="Times New Roman" w:hint="eastAsia"/>
              </w:rPr>
            </w:pPr>
            <w:r w:rsidRPr="00E86256">
              <w:rPr>
                <w:rFonts w:ascii="Cambria Math" w:eastAsia="궁서" w:hAnsi="Cambria Math" w:cs="Cambria Math"/>
              </w:rPr>
              <w:t>①</w:t>
            </w:r>
            <w:r w:rsidRPr="00E86256">
              <w:rPr>
                <w:rFonts w:ascii="Times New Roman" w:eastAsia="궁서" w:hAnsi="Times New Roman" w:cs="Times New Roman"/>
              </w:rPr>
              <w:t xml:space="preserve"> Promo</w:t>
            </w:r>
            <w:r w:rsidRPr="00E86256">
              <w:rPr>
                <w:rFonts w:ascii="Times New Roman" w:eastAsia="궁서" w:hAnsi="Times New Roman" w:cs="Times New Roman"/>
              </w:rPr>
              <w:t xml:space="preserve">ting digital transformation   </w:t>
            </w:r>
            <w:r w:rsidRPr="00E86256">
              <w:rPr>
                <w:rFonts w:ascii="Cambria Math" w:eastAsia="궁서" w:hAnsi="Cambria Math" w:cs="Cambria Math"/>
              </w:rPr>
              <w:t>②</w:t>
            </w:r>
            <w:r w:rsidRPr="00E86256">
              <w:rPr>
                <w:rFonts w:ascii="Times New Roman" w:eastAsia="궁서" w:hAnsi="Times New Roman" w:cs="Times New Roman"/>
              </w:rPr>
              <w:t xml:space="preserve"> Introducing preferential purchasing system </w:t>
            </w:r>
            <w:r w:rsidRPr="00E86256">
              <w:rPr>
                <w:rFonts w:ascii="Cambria Math" w:eastAsia="궁서" w:hAnsi="Cambria Math" w:cs="Cambria Math"/>
              </w:rPr>
              <w:t>③</w:t>
            </w:r>
            <w:r w:rsidRPr="00E86256">
              <w:rPr>
                <w:rFonts w:ascii="Times New Roman" w:eastAsia="궁서" w:hAnsi="Times New Roman" w:cs="Times New Roman"/>
              </w:rPr>
              <w:t xml:space="preserve"> Building a public platform such as innovation of regulations</w:t>
            </w:r>
          </w:p>
        </w:tc>
      </w:tr>
    </w:tbl>
    <w:p w:rsidR="000E55EB" w:rsidRPr="00E86256" w:rsidRDefault="000E55EB" w:rsidP="00E86256">
      <w:pPr>
        <w:spacing w:line="360" w:lineRule="auto"/>
        <w:jc w:val="both"/>
        <w:rPr>
          <w:rFonts w:ascii="Times New Roman" w:eastAsia="Times New Roman" w:hAnsi="Times New Roman" w:cs="Times New Roman" w:hint="eastAsia"/>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Fostering the green-bio industry in a systematic manner through improved implementation system such as (tentative)</w:t>
      </w:r>
      <w:r w:rsidRPr="00E86256">
        <w:rPr>
          <w:rFonts w:ascii="Times New Roman" w:eastAsia="Times New Roman" w:hAnsi="Times New Roman" w:cs="Times New Roman"/>
        </w:rPr>
        <w:t xml:space="preserve"> Green-bio Industry Promotion Act and industry-specific statistics.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b/>
        </w:rPr>
      </w:pPr>
      <w:r w:rsidRPr="00E86256">
        <w:rPr>
          <w:rFonts w:ascii="Times New Roman" w:eastAsia="Times New Roman" w:hAnsi="Times New Roman" w:cs="Times New Roman"/>
          <w:b/>
        </w:rPr>
        <w:t>Ⅰ. Background</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The Ministry of Agriculture, Food and Rural Affairs (Minister Chung Hwang-</w:t>
      </w:r>
      <w:proofErr w:type="spellStart"/>
      <w:r w:rsidRPr="00E86256">
        <w:rPr>
          <w:rFonts w:ascii="Times New Roman" w:eastAsia="Times New Roman" w:hAnsi="Times New Roman" w:cs="Times New Roman"/>
        </w:rPr>
        <w:t>keun</w:t>
      </w:r>
      <w:proofErr w:type="spellEnd"/>
      <w:r w:rsidRPr="00E86256">
        <w:rPr>
          <w:rFonts w:ascii="Times New Roman" w:eastAsia="Times New Roman" w:hAnsi="Times New Roman" w:cs="Times New Roman"/>
        </w:rPr>
        <w:t>, MAFRA) aims to proactively foster the green-bio industry, a high value-added new industry in agri-food sector, to make agriculture an industry for future growth, which is a key</w:t>
      </w:r>
      <w:r w:rsidRPr="00E86256">
        <w:rPr>
          <w:rFonts w:ascii="Times New Roman" w:eastAsia="Times New Roman" w:hAnsi="Times New Roman" w:cs="Times New Roman"/>
        </w:rPr>
        <w:t xml:space="preserve"> policy task in agri-food area. (“Strategy to Foster Green-bio Industry”)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hint="eastAsia"/>
        </w:rPr>
      </w:pPr>
      <w:r w:rsidRPr="00E86256">
        <w:rPr>
          <w:rFonts w:ascii="Times New Roman" w:eastAsia="Times New Roman" w:hAnsi="Times New Roman" w:cs="Times New Roman"/>
        </w:rPr>
        <w:t>Green-bio industry is a new industry that creates added value throughout agriculture including upstream and downstream industries by applying biotechnology to agricultural life res</w:t>
      </w:r>
      <w:r w:rsidRPr="00E86256">
        <w:rPr>
          <w:rFonts w:ascii="Times New Roman" w:eastAsia="Times New Roman" w:hAnsi="Times New Roman" w:cs="Times New Roman"/>
        </w:rPr>
        <w:t xml:space="preserve">ources. Key areas include seeds, veterinary medicines, microorganisms, insects, natural products and food materials, and the industry can enhance sustainability by substituting fossil fuel-based production with bio-based one. </w:t>
      </w:r>
    </w:p>
    <w:p w:rsidR="000E55EB" w:rsidRPr="00E86256" w:rsidRDefault="00963F86" w:rsidP="00E86256">
      <w:pPr>
        <w:spacing w:line="360" w:lineRule="auto"/>
        <w:jc w:val="both"/>
        <w:rPr>
          <w:rFonts w:ascii="Times New Roman" w:eastAsia="Times New Roman" w:hAnsi="Times New Roman" w:cs="Times New Roman" w:hint="eastAsia"/>
        </w:rPr>
      </w:pPr>
      <w:r w:rsidRPr="00E86256">
        <w:rPr>
          <w:rFonts w:ascii="Times New Roman" w:eastAsia="궁서" w:hAnsi="Times New Roman" w:cs="Times New Roman"/>
        </w:rPr>
        <w:t>* Example</w:t>
      </w:r>
      <w:r w:rsidRPr="00E86256">
        <w:rPr>
          <w:rFonts w:ascii="Cambria Math" w:eastAsia="궁서" w:hAnsi="Cambria Math" w:cs="Cambria Math"/>
        </w:rPr>
        <w:t>①</w:t>
      </w:r>
      <w:r w:rsidRPr="00E86256">
        <w:rPr>
          <w:rFonts w:ascii="Times New Roman" w:eastAsia="궁서" w:hAnsi="Times New Roman" w:cs="Times New Roman"/>
        </w:rPr>
        <w:t>: Shortens the bre</w:t>
      </w:r>
      <w:r w:rsidRPr="00E86256">
        <w:rPr>
          <w:rFonts w:ascii="Times New Roman" w:eastAsia="궁서" w:hAnsi="Times New Roman" w:cs="Times New Roman"/>
        </w:rPr>
        <w:t xml:space="preserve">eding period that usually takes 10 years to 3-5 years through digital breeding using nucleotide sequence information. </w:t>
      </w:r>
    </w:p>
    <w:p w:rsidR="000E55EB" w:rsidRPr="00E86256" w:rsidRDefault="00963F86" w:rsidP="00E86256">
      <w:pPr>
        <w:spacing w:line="360" w:lineRule="auto"/>
        <w:jc w:val="both"/>
        <w:rPr>
          <w:rFonts w:ascii="Times New Roman" w:eastAsia="Times New Roman" w:hAnsi="Times New Roman" w:cs="Times New Roman" w:hint="eastAsia"/>
        </w:rPr>
      </w:pPr>
      <w:r w:rsidRPr="00E86256">
        <w:rPr>
          <w:rFonts w:ascii="Times New Roman" w:eastAsia="궁서" w:hAnsi="Times New Roman" w:cs="Times New Roman"/>
        </w:rPr>
        <w:t>* Example</w:t>
      </w:r>
      <w:r w:rsidRPr="00E86256">
        <w:rPr>
          <w:rFonts w:ascii="Cambria Math" w:eastAsia="궁서" w:hAnsi="Cambria Math" w:cs="Cambria Math"/>
        </w:rPr>
        <w:t>②</w:t>
      </w:r>
      <w:r w:rsidRPr="00E86256">
        <w:rPr>
          <w:rFonts w:ascii="Times New Roman" w:eastAsia="궁서" w:hAnsi="Times New Roman" w:cs="Times New Roman"/>
        </w:rPr>
        <w:t>: Solves residual pesticide issues in advance and reduces chemical pesticides by developing eco-friendly pesticides using micr</w:t>
      </w:r>
      <w:r w:rsidRPr="00E86256">
        <w:rPr>
          <w:rFonts w:ascii="Times New Roman" w:eastAsia="궁서" w:hAnsi="Times New Roman" w:cs="Times New Roman"/>
        </w:rPr>
        <w:t xml:space="preserve">oorganisms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궁서" w:hAnsi="Times New Roman" w:cs="Times New Roman"/>
        </w:rPr>
        <w:t>* Example</w:t>
      </w:r>
      <w:r w:rsidRPr="00E86256">
        <w:rPr>
          <w:rFonts w:ascii="Cambria Math" w:eastAsia="궁서" w:hAnsi="Cambria Math" w:cs="Cambria Math"/>
        </w:rPr>
        <w:t>③</w:t>
      </w:r>
      <w:r w:rsidRPr="00E86256">
        <w:rPr>
          <w:rFonts w:ascii="Times New Roman" w:eastAsia="궁서" w:hAnsi="Times New Roman" w:cs="Times New Roman"/>
        </w:rPr>
        <w:t xml:space="preserve">: Manufactures insect oil (for food and cosmetics), protein (for food and feed) and fertilizer (feces) by recycling processed food that has passed its expiration date and using it as a food source for insects.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​​The global green-bi</w:t>
      </w:r>
      <w:r w:rsidRPr="00E86256">
        <w:rPr>
          <w:rFonts w:ascii="Times New Roman" w:eastAsia="Times New Roman" w:hAnsi="Times New Roman" w:cs="Times New Roman"/>
        </w:rPr>
        <w:t>o market is worth 1.2 trillion dollars in 2020 and is expected to rapidly grow by 6.7% on average annually (source: Seoul National University R&amp;DB Foundation). The domestic market is merely 0.3% of the global market with 5.4 trillion won in 2020, and it is</w:t>
      </w:r>
      <w:r w:rsidRPr="00E86256">
        <w:rPr>
          <w:rFonts w:ascii="Times New Roman" w:eastAsia="Times New Roman" w:hAnsi="Times New Roman" w:cs="Times New Roman"/>
        </w:rPr>
        <w:t xml:space="preserve"> necessary to make preparations at a national level in line with the industry’s global growth.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xml:space="preserve">Along with the development of innovative technologies, it is necessary to grow green-bio industry as a future growth engine and proactively promote export in </w:t>
      </w:r>
      <w:r w:rsidRPr="00E86256">
        <w:rPr>
          <w:rFonts w:ascii="Times New Roman" w:eastAsia="Times New Roman" w:hAnsi="Times New Roman" w:cs="Times New Roman"/>
        </w:rPr>
        <w:t xml:space="preserve">the industry by nurturing human resources for </w:t>
      </w:r>
      <w:r w:rsidRPr="00E86256">
        <w:rPr>
          <w:rFonts w:ascii="Times New Roman" w:eastAsia="Times New Roman" w:hAnsi="Times New Roman" w:cs="Times New Roman"/>
        </w:rPr>
        <w:lastRenderedPageBreak/>
        <w:t xml:space="preserve">convergence (IT and biotechnology) that meet businesses’ needs and building massive supply system for biomaterials (cutting-edge farms dedicated to materials, </w:t>
      </w:r>
      <w:proofErr w:type="spellStart"/>
      <w:r w:rsidRPr="00E86256">
        <w:rPr>
          <w:rFonts w:ascii="Times New Roman" w:eastAsia="Times New Roman" w:hAnsi="Times New Roman" w:cs="Times New Roman"/>
        </w:rPr>
        <w:t>biofoundries</w:t>
      </w:r>
      <w:proofErr w:type="spellEnd"/>
      <w:r w:rsidRPr="00E86256">
        <w:rPr>
          <w:rFonts w:ascii="Times New Roman" w:eastAsia="Times New Roman" w:hAnsi="Times New Roman" w:cs="Times New Roman"/>
        </w:rPr>
        <w:t xml:space="preserve">).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궁서" w:hAnsi="Times New Roman" w:cs="Times New Roman"/>
        </w:rPr>
        <w:t>Against this backdrop, MAFRA has d</w:t>
      </w:r>
      <w:r w:rsidRPr="00E86256">
        <w:rPr>
          <w:rFonts w:ascii="Times New Roman" w:eastAsia="궁서" w:hAnsi="Times New Roman" w:cs="Times New Roman"/>
        </w:rPr>
        <w:t xml:space="preserve">eveloped and implements the “Strategy to Foster Green-bio Industry” centering on </w:t>
      </w:r>
      <w:r w:rsidRPr="00E86256">
        <w:rPr>
          <w:rFonts w:ascii="Cambria Math" w:eastAsia="궁서" w:hAnsi="Cambria Math" w:cs="Cambria Math"/>
        </w:rPr>
        <w:t>①</w:t>
      </w:r>
      <w:r w:rsidRPr="00E86256">
        <w:rPr>
          <w:rFonts w:ascii="Times New Roman" w:eastAsia="궁서" w:hAnsi="Times New Roman" w:cs="Times New Roman"/>
        </w:rPr>
        <w:t xml:space="preserve">Promoting the industry’s growth, </w:t>
      </w:r>
      <w:r w:rsidRPr="00E86256">
        <w:rPr>
          <w:rFonts w:ascii="Cambria Math" w:eastAsia="궁서" w:hAnsi="Cambria Math" w:cs="Cambria Math"/>
        </w:rPr>
        <w:t>②</w:t>
      </w:r>
      <w:r w:rsidRPr="00E86256">
        <w:rPr>
          <w:rFonts w:ascii="Times New Roman" w:eastAsia="궁서" w:hAnsi="Times New Roman" w:cs="Times New Roman"/>
        </w:rPr>
        <w:t xml:space="preserve">Developing innovative technologies and nurturing human resources, and </w:t>
      </w:r>
      <w:r w:rsidRPr="00E86256">
        <w:rPr>
          <w:rFonts w:ascii="Cambria Math" w:eastAsia="궁서" w:hAnsi="Cambria Math" w:cs="Cambria Math"/>
        </w:rPr>
        <w:t>③</w:t>
      </w:r>
      <w:r w:rsidRPr="00E86256">
        <w:rPr>
          <w:rFonts w:ascii="Times New Roman" w:eastAsia="궁서" w:hAnsi="Times New Roman" w:cs="Times New Roman"/>
        </w:rPr>
        <w:t>Establishing a sound ecosystem for the industry. The strategy aims to</w:t>
      </w:r>
      <w:r w:rsidRPr="00E86256">
        <w:rPr>
          <w:rFonts w:ascii="Times New Roman" w:eastAsia="궁서" w:hAnsi="Times New Roman" w:cs="Times New Roman"/>
        </w:rPr>
        <w:t xml:space="preserve"> grow the domestic market to 10 trillion won by 2027, achieve export volume of 5 trillion won and nurture 15 large-scale global unicorns. </w:t>
      </w:r>
    </w:p>
    <w:p w:rsidR="000E55EB" w:rsidRPr="00E86256" w:rsidRDefault="000E55EB" w:rsidP="00E86256">
      <w:pPr>
        <w:spacing w:line="360" w:lineRule="auto"/>
        <w:jc w:val="both"/>
        <w:rPr>
          <w:rFonts w:ascii="Times New Roman" w:eastAsia="Times New Roman" w:hAnsi="Times New Roman" w:cs="Times New Roman" w:hint="eastAsia"/>
        </w:rPr>
      </w:pPr>
    </w:p>
    <w:p w:rsidR="000E55EB" w:rsidRPr="00E86256" w:rsidRDefault="00963F86" w:rsidP="00E86256">
      <w:pPr>
        <w:spacing w:line="360" w:lineRule="auto"/>
        <w:jc w:val="both"/>
        <w:rPr>
          <w:rFonts w:ascii="Times New Roman" w:eastAsia="Times New Roman" w:hAnsi="Times New Roman" w:cs="Times New Roman"/>
          <w:b/>
        </w:rPr>
      </w:pPr>
      <w:r w:rsidRPr="00E86256">
        <w:rPr>
          <w:rFonts w:ascii="Times New Roman" w:eastAsia="Times New Roman" w:hAnsi="Times New Roman" w:cs="Times New Roman"/>
          <w:b/>
        </w:rPr>
        <w:t xml:space="preserve">Ⅱ. Key contents by each implementation strategy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hint="eastAsia"/>
          <w:b/>
          <w:bCs/>
        </w:rPr>
      </w:pPr>
      <w:r w:rsidRPr="00E86256">
        <w:rPr>
          <w:rFonts w:ascii="Times New Roman" w:eastAsia="Times New Roman" w:hAnsi="Times New Roman" w:cs="Times New Roman"/>
          <w:b/>
          <w:bCs/>
        </w:rPr>
        <w:t>1. Promoting green-bio industry’s growth</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Segoe UI Symbol" w:eastAsia="Times New Roman" w:hAnsi="Segoe UI Symbol" w:cs="Segoe UI Symbol"/>
        </w:rPr>
        <w:t>◇</w:t>
      </w:r>
      <w:r w:rsidRPr="00E86256">
        <w:rPr>
          <w:rFonts w:ascii="Times New Roman" w:eastAsia="Times New Roman" w:hAnsi="Times New Roman" w:cs="Times New Roman"/>
        </w:rPr>
        <w:t xml:space="preserve"> Supporting businesses</w:t>
      </w:r>
      <w:r w:rsidRPr="00E86256">
        <w:rPr>
          <w:rFonts w:ascii="Times New Roman" w:eastAsia="Times New Roman" w:hAnsi="Times New Roman" w:cs="Times New Roman"/>
        </w:rPr>
        <w:t xml:space="preserve"> centering on six sectors* (tentatively “Green-bio hubs”)</w:t>
      </w:r>
    </w:p>
    <w:p w:rsidR="000E55EB" w:rsidRPr="00E86256" w:rsidRDefault="00963F86" w:rsidP="00E86256">
      <w:pPr>
        <w:spacing w:line="360" w:lineRule="auto"/>
        <w:jc w:val="both"/>
        <w:rPr>
          <w:rFonts w:ascii="Times New Roman" w:eastAsia="Times New Roman" w:hAnsi="Times New Roman" w:cs="Times New Roman" w:hint="eastAsia"/>
        </w:rPr>
      </w:pPr>
      <w:r w:rsidRPr="00E86256">
        <w:rPr>
          <w:rFonts w:ascii="Times New Roman" w:eastAsia="Times New Roman" w:hAnsi="Times New Roman" w:cs="Times New Roman"/>
        </w:rPr>
        <w:t>*Seeds, microorganisms, veterinary medicines, insects, natural products and food materials</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Segoe UI Symbol" w:eastAsia="Times New Roman" w:hAnsi="Segoe UI Symbol" w:cs="Segoe UI Symbol"/>
        </w:rPr>
        <w:t>◇</w:t>
      </w:r>
      <w:r w:rsidRPr="00E86256">
        <w:rPr>
          <w:rFonts w:ascii="Times New Roman" w:eastAsia="Times New Roman" w:hAnsi="Times New Roman" w:cs="Times New Roman"/>
        </w:rPr>
        <w:t xml:space="preserve"> Promoting investment, solidifying massive material production system and creating domestic and internati</w:t>
      </w:r>
      <w:r w:rsidRPr="00E86256">
        <w:rPr>
          <w:rFonts w:ascii="Times New Roman" w:eastAsia="Times New Roman" w:hAnsi="Times New Roman" w:cs="Times New Roman"/>
        </w:rPr>
        <w:t>onal demands</w:t>
      </w:r>
    </w:p>
    <w:p w:rsidR="000E55EB" w:rsidRPr="00E86256" w:rsidRDefault="000E55EB" w:rsidP="00E86256">
      <w:pPr>
        <w:spacing w:line="360" w:lineRule="auto"/>
        <w:jc w:val="both"/>
        <w:rPr>
          <w:rFonts w:ascii="Times New Roman" w:eastAsia="Times New Roman" w:hAnsi="Times New Roman" w:cs="Times New Roman"/>
          <w:highlight w:val="yellow"/>
        </w:rPr>
      </w:pPr>
    </w:p>
    <w:p w:rsidR="000E55EB" w:rsidRPr="00E86256" w:rsidRDefault="00963F86" w:rsidP="00E86256">
      <w:pPr>
        <w:spacing w:line="360" w:lineRule="auto"/>
        <w:jc w:val="both"/>
        <w:rPr>
          <w:rFonts w:ascii="Times New Roman" w:eastAsia="Times New Roman" w:hAnsi="Times New Roman" w:cs="Times New Roman"/>
          <w:b/>
          <w:bCs/>
          <w:highlight w:val="yellow"/>
        </w:rPr>
      </w:pPr>
      <w:r w:rsidRPr="00E86256">
        <w:rPr>
          <w:rFonts w:ascii="Times New Roman" w:eastAsia="Times New Roman" w:hAnsi="Times New Roman" w:cs="Times New Roman"/>
          <w:b/>
          <w:bCs/>
          <w:highlight w:val="yellow"/>
        </w:rPr>
        <w:t xml:space="preserve">First, investment will be expanded through financial support dedicated to startups.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xml:space="preserve"> The amount of funds dedicated to the green-bio industry will be expanded, aiming to raise 100 billion won or more by 2027. Funds to start a business and consulting will be supported by connecting with investment institutions specialized in the green-bio s</w:t>
      </w:r>
      <w:r w:rsidRPr="00E86256">
        <w:rPr>
          <w:rFonts w:ascii="Times New Roman" w:eastAsia="Times New Roman" w:hAnsi="Times New Roman" w:cs="Times New Roman"/>
        </w:rPr>
        <w:t xml:space="preserve">ector so that various funds, such as UAE sovereign wealth fund and policy finance (new growth 4.0), can be used. Also, product development will be promoted with a program that links large and mid-market enterprises and startups.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b/>
          <w:bCs/>
          <w:highlight w:val="yellow"/>
        </w:rPr>
      </w:pPr>
      <w:r w:rsidRPr="00E86256">
        <w:rPr>
          <w:rFonts w:ascii="Times New Roman" w:eastAsia="Times New Roman" w:hAnsi="Times New Roman" w:cs="Times New Roman"/>
          <w:b/>
          <w:bCs/>
          <w:highlight w:val="yellow"/>
        </w:rPr>
        <w:t>Strengthening the suppor</w:t>
      </w:r>
      <w:r w:rsidRPr="00E86256">
        <w:rPr>
          <w:rFonts w:ascii="Times New Roman" w:eastAsia="Times New Roman" w:hAnsi="Times New Roman" w:cs="Times New Roman"/>
          <w:b/>
          <w:bCs/>
          <w:highlight w:val="yellow"/>
        </w:rPr>
        <w:t xml:space="preserve">t for businesses centering on the six industrial hubs (“Green-bio hubs” tentatively). </w:t>
      </w:r>
    </w:p>
    <w:p w:rsidR="000E55EB" w:rsidRPr="00E86256" w:rsidRDefault="000E55EB" w:rsidP="00E86256">
      <w:pPr>
        <w:spacing w:line="360" w:lineRule="auto"/>
        <w:jc w:val="both"/>
        <w:rPr>
          <w:rFonts w:ascii="Times New Roman" w:eastAsia="Times New Roman" w:hAnsi="Times New Roman" w:cs="Times New Roman"/>
          <w:shd w:val="clear" w:color="auto" w:fill="FF9900"/>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궁서" w:hAnsi="Times New Roman" w:cs="Times New Roman"/>
        </w:rPr>
        <w:t xml:space="preserve">MAFRA plans to comprehensively support green-bio companies’ commercialization processes including product evaluation and demonstration at </w:t>
      </w:r>
      <w:r w:rsidRPr="00E86256">
        <w:rPr>
          <w:rFonts w:ascii="Cambria Math" w:eastAsia="궁서" w:hAnsi="Cambria Math" w:cs="Cambria Math"/>
        </w:rPr>
        <w:t>①</w:t>
      </w:r>
      <w:r w:rsidRPr="00E86256">
        <w:rPr>
          <w:rFonts w:ascii="Times New Roman" w:eastAsia="궁서" w:hAnsi="Times New Roman" w:cs="Times New Roman"/>
        </w:rPr>
        <w:t>K-Seed valley (</w:t>
      </w:r>
      <w:proofErr w:type="spellStart"/>
      <w:r w:rsidRPr="00E86256">
        <w:rPr>
          <w:rFonts w:ascii="Times New Roman" w:eastAsia="궁서" w:hAnsi="Times New Roman" w:cs="Times New Roman"/>
        </w:rPr>
        <w:t>Gimje-si</w:t>
      </w:r>
      <w:proofErr w:type="spellEnd"/>
      <w:r w:rsidRPr="00E86256">
        <w:rPr>
          <w:rFonts w:ascii="Times New Roman" w:eastAsia="궁서" w:hAnsi="Times New Roman" w:cs="Times New Roman"/>
        </w:rPr>
        <w:t xml:space="preserve">), </w:t>
      </w:r>
      <w:r w:rsidRPr="00E86256">
        <w:rPr>
          <w:rFonts w:ascii="Cambria Math" w:eastAsia="궁서" w:hAnsi="Cambria Math" w:cs="Cambria Math"/>
        </w:rPr>
        <w:t>②</w:t>
      </w:r>
      <w:r w:rsidRPr="00E86256">
        <w:rPr>
          <w:rFonts w:ascii="Times New Roman" w:eastAsia="궁서" w:hAnsi="Times New Roman" w:cs="Times New Roman"/>
        </w:rPr>
        <w:t>Ve</w:t>
      </w:r>
      <w:r w:rsidRPr="00E86256">
        <w:rPr>
          <w:rFonts w:ascii="Times New Roman" w:eastAsia="궁서" w:hAnsi="Times New Roman" w:cs="Times New Roman"/>
        </w:rPr>
        <w:t xml:space="preserve">terinary Medicines Efficacy and Safety Evaluation Center (Iksan-si), </w:t>
      </w:r>
      <w:r w:rsidRPr="00E86256">
        <w:rPr>
          <w:rFonts w:ascii="Cambria Math" w:eastAsia="궁서" w:hAnsi="Cambria Math" w:cs="Cambria Math"/>
        </w:rPr>
        <w:t>③</w:t>
      </w:r>
      <w:r w:rsidRPr="00E86256">
        <w:rPr>
          <w:rFonts w:ascii="Times New Roman" w:eastAsia="궁서" w:hAnsi="Times New Roman" w:cs="Times New Roman"/>
        </w:rPr>
        <w:t>Microorganism Industry Promotion and Support Center (</w:t>
      </w:r>
      <w:proofErr w:type="spellStart"/>
      <w:r w:rsidRPr="00E86256">
        <w:rPr>
          <w:rFonts w:ascii="Times New Roman" w:eastAsia="궁서" w:hAnsi="Times New Roman" w:cs="Times New Roman"/>
        </w:rPr>
        <w:t>Jeongeup-si</w:t>
      </w:r>
      <w:proofErr w:type="spellEnd"/>
      <w:r w:rsidRPr="00E86256">
        <w:rPr>
          <w:rFonts w:ascii="Times New Roman" w:eastAsia="궁서" w:hAnsi="Times New Roman" w:cs="Times New Roman"/>
        </w:rPr>
        <w:t xml:space="preserve">), </w:t>
      </w:r>
      <w:r w:rsidRPr="00E86256">
        <w:rPr>
          <w:rFonts w:ascii="Cambria Math" w:eastAsia="궁서" w:hAnsi="Cambria Math" w:cs="Cambria Math"/>
        </w:rPr>
        <w:t>④</w:t>
      </w:r>
      <w:r w:rsidRPr="00E86256">
        <w:rPr>
          <w:rFonts w:ascii="Times New Roman" w:eastAsia="궁서" w:hAnsi="Times New Roman" w:cs="Times New Roman"/>
        </w:rPr>
        <w:t>Insect Industry Hub (</w:t>
      </w:r>
      <w:proofErr w:type="spellStart"/>
      <w:r w:rsidRPr="00E86256">
        <w:rPr>
          <w:rFonts w:ascii="Times New Roman" w:eastAsia="궁서" w:hAnsi="Times New Roman" w:cs="Times New Roman"/>
        </w:rPr>
        <w:t>Yecheon</w:t>
      </w:r>
      <w:proofErr w:type="spellEnd"/>
      <w:r w:rsidRPr="00E86256">
        <w:rPr>
          <w:rFonts w:ascii="Times New Roman" w:eastAsia="궁서" w:hAnsi="Times New Roman" w:cs="Times New Roman"/>
        </w:rPr>
        <w:t xml:space="preserve">-gun), </w:t>
      </w:r>
      <w:r w:rsidRPr="00E86256">
        <w:rPr>
          <w:rFonts w:ascii="Cambria Math" w:eastAsia="궁서" w:hAnsi="Cambria Math" w:cs="Cambria Math"/>
        </w:rPr>
        <w:t>⑤</w:t>
      </w:r>
      <w:r w:rsidRPr="00E86256">
        <w:rPr>
          <w:rFonts w:ascii="Times New Roman" w:eastAsia="궁서" w:hAnsi="Times New Roman" w:cs="Times New Roman"/>
        </w:rPr>
        <w:t xml:space="preserve">Natural Product Material Hub (to be selected in 2023), </w:t>
      </w:r>
      <w:r w:rsidRPr="00E86256">
        <w:rPr>
          <w:rFonts w:ascii="Cambria Math" w:eastAsia="궁서" w:hAnsi="Cambria Math" w:cs="Cambria Math"/>
        </w:rPr>
        <w:t>⑥</w:t>
      </w:r>
      <w:r w:rsidRPr="00E86256">
        <w:rPr>
          <w:rFonts w:ascii="Times New Roman" w:eastAsia="궁서" w:hAnsi="Times New Roman" w:cs="Times New Roman"/>
        </w:rPr>
        <w:t>National Food Cluster (Iks</w:t>
      </w:r>
      <w:r w:rsidRPr="00E86256">
        <w:rPr>
          <w:rFonts w:ascii="Times New Roman" w:eastAsia="궁서" w:hAnsi="Times New Roman" w:cs="Times New Roman"/>
        </w:rPr>
        <w:t xml:space="preserve">an-si).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center"/>
        <w:rPr>
          <w:rFonts w:ascii="Times New Roman" w:eastAsia="Times New Roman" w:hAnsi="Times New Roman" w:cs="Times New Roman" w:hint="eastAsia"/>
          <w:b/>
          <w:bCs/>
        </w:rPr>
      </w:pPr>
      <w:r w:rsidRPr="00E86256">
        <w:rPr>
          <w:rFonts w:ascii="Times New Roman" w:eastAsia="궁서" w:hAnsi="Times New Roman" w:cs="Times New Roman"/>
          <w:b/>
          <w:bCs/>
        </w:rPr>
        <w:lastRenderedPageBreak/>
        <w:t>《</w:t>
      </w:r>
      <w:r w:rsidRPr="00E86256">
        <w:rPr>
          <w:rFonts w:ascii="Times New Roman" w:eastAsia="궁서" w:hAnsi="Times New Roman" w:cs="Times New Roman"/>
          <w:b/>
          <w:bCs/>
        </w:rPr>
        <w:t xml:space="preserve"> Green-bio Hubs Implementation Plan </w:t>
      </w:r>
      <w:r w:rsidRPr="00E86256">
        <w:rPr>
          <w:rFonts w:ascii="Times New Roman" w:eastAsia="궁서" w:hAnsi="Times New Roman" w:cs="Times New Roman"/>
          <w:b/>
          <w:bCs/>
        </w:rPr>
        <w:t>》</w:t>
      </w:r>
    </w:p>
    <w:tbl>
      <w:tblPr>
        <w:tblStyle w:val="a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2733"/>
        <w:gridCol w:w="4692"/>
      </w:tblGrid>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963F86">
            <w:pPr>
              <w:widowControl w:val="0"/>
              <w:pBdr>
                <w:top w:val="nil"/>
                <w:left w:val="nil"/>
                <w:bottom w:val="nil"/>
                <w:right w:val="nil"/>
                <w:between w:val="nil"/>
              </w:pBdr>
              <w:jc w:val="center"/>
              <w:rPr>
                <w:rFonts w:ascii="Times New Roman" w:eastAsia="Times New Roman" w:hAnsi="Times New Roman" w:cs="Times New Roman"/>
                <w:b/>
              </w:rPr>
            </w:pPr>
            <w:r w:rsidRPr="00E86256">
              <w:rPr>
                <w:rFonts w:ascii="Times New Roman" w:eastAsia="Times New Roman" w:hAnsi="Times New Roman" w:cs="Times New Roman"/>
                <w:b/>
              </w:rPr>
              <w:t>Area</w:t>
            </w:r>
          </w:p>
        </w:tc>
        <w:tc>
          <w:tcPr>
            <w:tcW w:w="2733" w:type="dxa"/>
            <w:shd w:val="clear" w:color="auto" w:fill="auto"/>
            <w:tcMar>
              <w:top w:w="100" w:type="dxa"/>
              <w:left w:w="100" w:type="dxa"/>
              <w:bottom w:w="100" w:type="dxa"/>
              <w:right w:w="100" w:type="dxa"/>
            </w:tcMar>
          </w:tcPr>
          <w:p w:rsidR="000E55EB" w:rsidRPr="00E86256" w:rsidRDefault="00963F86" w:rsidP="00963F86">
            <w:pPr>
              <w:widowControl w:val="0"/>
              <w:pBdr>
                <w:top w:val="nil"/>
                <w:left w:val="nil"/>
                <w:bottom w:val="nil"/>
                <w:right w:val="nil"/>
                <w:between w:val="nil"/>
              </w:pBdr>
              <w:jc w:val="center"/>
              <w:rPr>
                <w:rFonts w:ascii="Times New Roman" w:eastAsia="Times New Roman" w:hAnsi="Times New Roman" w:cs="Times New Roman"/>
                <w:b/>
              </w:rPr>
            </w:pPr>
            <w:r w:rsidRPr="00E86256">
              <w:rPr>
                <w:rFonts w:ascii="Times New Roman" w:eastAsia="Times New Roman" w:hAnsi="Times New Roman" w:cs="Times New Roman"/>
                <w:b/>
              </w:rPr>
              <w:t>Hub</w:t>
            </w:r>
          </w:p>
        </w:tc>
        <w:tc>
          <w:tcPr>
            <w:tcW w:w="4692" w:type="dxa"/>
            <w:shd w:val="clear" w:color="auto" w:fill="auto"/>
            <w:tcMar>
              <w:top w:w="100" w:type="dxa"/>
              <w:left w:w="100" w:type="dxa"/>
              <w:bottom w:w="100" w:type="dxa"/>
              <w:right w:w="100" w:type="dxa"/>
            </w:tcMar>
          </w:tcPr>
          <w:p w:rsidR="000E55EB" w:rsidRPr="00E86256" w:rsidRDefault="00963F86" w:rsidP="00963F86">
            <w:pPr>
              <w:widowControl w:val="0"/>
              <w:pBdr>
                <w:top w:val="nil"/>
                <w:left w:val="nil"/>
                <w:bottom w:val="nil"/>
                <w:right w:val="nil"/>
                <w:between w:val="nil"/>
              </w:pBdr>
              <w:jc w:val="center"/>
              <w:rPr>
                <w:rFonts w:ascii="Times New Roman" w:eastAsia="Times New Roman" w:hAnsi="Times New Roman" w:cs="Times New Roman"/>
                <w:b/>
              </w:rPr>
            </w:pPr>
            <w:r w:rsidRPr="00E86256">
              <w:rPr>
                <w:rFonts w:ascii="Times New Roman" w:eastAsia="Times New Roman" w:hAnsi="Times New Roman" w:cs="Times New Roman"/>
                <w:b/>
              </w:rPr>
              <w:t>Key functions</w:t>
            </w:r>
          </w:p>
        </w:tc>
      </w:tr>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Cambria Math" w:eastAsia="궁서" w:hAnsi="Cambria Math" w:cs="Cambria Math"/>
              </w:rPr>
              <w:t>①</w:t>
            </w:r>
            <w:r w:rsidRPr="00E86256">
              <w:rPr>
                <w:rFonts w:ascii="Times New Roman" w:eastAsia="궁서" w:hAnsi="Times New Roman" w:cs="Times New Roman"/>
              </w:rPr>
              <w:t>Seeds</w:t>
            </w:r>
          </w:p>
        </w:tc>
        <w:tc>
          <w:tcPr>
            <w:tcW w:w="2733"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Times New Roman" w:eastAsia="Times New Roman" w:hAnsi="Times New Roman" w:cs="Times New Roman"/>
              </w:rPr>
              <w:t>K-Seed valley (</w:t>
            </w:r>
            <w:proofErr w:type="spellStart"/>
            <w:r w:rsidRPr="00E86256">
              <w:rPr>
                <w:rFonts w:ascii="Times New Roman" w:eastAsia="Times New Roman" w:hAnsi="Times New Roman" w:cs="Times New Roman"/>
              </w:rPr>
              <w:t>Gimje-si</w:t>
            </w:r>
            <w:proofErr w:type="spellEnd"/>
            <w:r w:rsidRPr="00E86256">
              <w:rPr>
                <w:rFonts w:ascii="Times New Roman" w:eastAsia="Times New Roman" w:hAnsi="Times New Roman" w:cs="Times New Roman"/>
              </w:rPr>
              <w:t xml:space="preserve">, </w:t>
            </w:r>
            <w:proofErr w:type="spellStart"/>
            <w:r w:rsidRPr="00E86256">
              <w:rPr>
                <w:rFonts w:ascii="Times New Roman" w:eastAsia="Times New Roman" w:hAnsi="Times New Roman" w:cs="Times New Roman"/>
              </w:rPr>
              <w:t>Jeollabuk</w:t>
            </w:r>
            <w:proofErr w:type="spellEnd"/>
            <w:r w:rsidRPr="00E86256">
              <w:rPr>
                <w:rFonts w:ascii="Times New Roman" w:eastAsia="Times New Roman" w:hAnsi="Times New Roman" w:cs="Times New Roman"/>
              </w:rPr>
              <w:t>-do)</w:t>
            </w:r>
          </w:p>
        </w:tc>
        <w:tc>
          <w:tcPr>
            <w:tcW w:w="4692"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Establishment of the foundation for seed-gathering/ digital breeding/ processing/ verification for seed companies </w:t>
            </w:r>
          </w:p>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Prioritized building the Seed Processing Center (coating etc.) for common use of seed companies (2023-2026, 12.6 billion won) </w:t>
            </w:r>
          </w:p>
        </w:tc>
      </w:tr>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Cambria Math" w:eastAsia="궁서" w:hAnsi="Cambria Math" w:cs="Cambria Math"/>
              </w:rPr>
              <w:t>②</w:t>
            </w:r>
            <w:r w:rsidRPr="00E86256">
              <w:rPr>
                <w:rFonts w:ascii="Times New Roman" w:eastAsia="궁서" w:hAnsi="Times New Roman" w:cs="Times New Roman"/>
              </w:rPr>
              <w:t>Veterina</w:t>
            </w:r>
            <w:r w:rsidRPr="00E86256">
              <w:rPr>
                <w:rFonts w:ascii="Times New Roman" w:eastAsia="궁서" w:hAnsi="Times New Roman" w:cs="Times New Roman"/>
              </w:rPr>
              <w:t>ry medicines</w:t>
            </w:r>
          </w:p>
        </w:tc>
        <w:tc>
          <w:tcPr>
            <w:tcW w:w="2733"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Times New Roman" w:eastAsia="Times New Roman" w:hAnsi="Times New Roman" w:cs="Times New Roman"/>
              </w:rPr>
              <w:t xml:space="preserve">Veterinary Medicines Efficacy and Safety Evaluation Center (Iksan-si, </w:t>
            </w:r>
            <w:proofErr w:type="spellStart"/>
            <w:r w:rsidRPr="00E86256">
              <w:rPr>
                <w:rFonts w:ascii="Times New Roman" w:eastAsia="Times New Roman" w:hAnsi="Times New Roman" w:cs="Times New Roman"/>
              </w:rPr>
              <w:t>Jeollabuk</w:t>
            </w:r>
            <w:proofErr w:type="spellEnd"/>
            <w:r w:rsidRPr="00E86256">
              <w:rPr>
                <w:rFonts w:ascii="Times New Roman" w:eastAsia="Times New Roman" w:hAnsi="Times New Roman" w:cs="Times New Roman"/>
              </w:rPr>
              <w:t>-do)</w:t>
            </w:r>
          </w:p>
        </w:tc>
        <w:tc>
          <w:tcPr>
            <w:tcW w:w="4692"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Evaluation of efficacy and safety, support for product manufacturing and international conferences </w:t>
            </w:r>
          </w:p>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Building the Veterinary Medicines Efficacy and Safety E</w:t>
            </w:r>
            <w:r w:rsidRPr="00E86256">
              <w:rPr>
                <w:rFonts w:ascii="Times New Roman" w:eastAsia="Times New Roman" w:hAnsi="Times New Roman" w:cs="Times New Roman"/>
              </w:rPr>
              <w:t>valuation Center (2020-2023, 25 billion won)</w:t>
            </w:r>
          </w:p>
        </w:tc>
      </w:tr>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Cambria Math" w:eastAsia="궁서" w:hAnsi="Cambria Math" w:cs="Cambria Math"/>
              </w:rPr>
              <w:t>③</w:t>
            </w:r>
            <w:r w:rsidRPr="00E86256">
              <w:rPr>
                <w:rFonts w:ascii="Times New Roman" w:eastAsia="궁서" w:hAnsi="Times New Roman" w:cs="Times New Roman"/>
              </w:rPr>
              <w:t>Microorganisms</w:t>
            </w:r>
          </w:p>
        </w:tc>
        <w:tc>
          <w:tcPr>
            <w:tcW w:w="2733"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Times New Roman" w:eastAsia="Times New Roman" w:hAnsi="Times New Roman" w:cs="Times New Roman"/>
              </w:rPr>
              <w:t>Microorganism Industry Promotion and Support Center (</w:t>
            </w:r>
            <w:proofErr w:type="spellStart"/>
            <w:r w:rsidRPr="00E86256">
              <w:rPr>
                <w:rFonts w:ascii="Times New Roman" w:eastAsia="Times New Roman" w:hAnsi="Times New Roman" w:cs="Times New Roman"/>
              </w:rPr>
              <w:t>Jeongeup-si</w:t>
            </w:r>
            <w:proofErr w:type="spellEnd"/>
            <w:r w:rsidRPr="00E86256">
              <w:rPr>
                <w:rFonts w:ascii="Times New Roman" w:eastAsia="Times New Roman" w:hAnsi="Times New Roman" w:cs="Times New Roman"/>
              </w:rPr>
              <w:t xml:space="preserve">, </w:t>
            </w:r>
            <w:proofErr w:type="spellStart"/>
            <w:r w:rsidRPr="00E86256">
              <w:rPr>
                <w:rFonts w:ascii="Times New Roman" w:eastAsia="Times New Roman" w:hAnsi="Times New Roman" w:cs="Times New Roman"/>
              </w:rPr>
              <w:t>Jeollabuk</w:t>
            </w:r>
            <w:proofErr w:type="spellEnd"/>
            <w:r w:rsidRPr="00E86256">
              <w:rPr>
                <w:rFonts w:ascii="Times New Roman" w:eastAsia="Times New Roman" w:hAnsi="Times New Roman" w:cs="Times New Roman"/>
              </w:rPr>
              <w:t>-do, in operation)</w:t>
            </w:r>
          </w:p>
        </w:tc>
        <w:tc>
          <w:tcPr>
            <w:tcW w:w="4692"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Support for demonstration and entry into overseas countries of bio pesticides, fertilizers, feed additives</w:t>
            </w:r>
          </w:p>
        </w:tc>
      </w:tr>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Cambria Math" w:eastAsia="궁서" w:hAnsi="Cambria Math" w:cs="Cambria Math"/>
              </w:rPr>
              <w:t>④</w:t>
            </w:r>
            <w:r w:rsidRPr="00E86256">
              <w:rPr>
                <w:rFonts w:ascii="Times New Roman" w:eastAsia="궁서" w:hAnsi="Times New Roman" w:cs="Times New Roman"/>
              </w:rPr>
              <w:t>Insects</w:t>
            </w:r>
          </w:p>
        </w:tc>
        <w:tc>
          <w:tcPr>
            <w:tcW w:w="2733"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Times New Roman" w:eastAsia="Times New Roman" w:hAnsi="Times New Roman" w:cs="Times New Roman"/>
              </w:rPr>
              <w:t>Insect Industry Hub (</w:t>
            </w:r>
            <w:proofErr w:type="spellStart"/>
            <w:r w:rsidRPr="00E86256">
              <w:rPr>
                <w:rFonts w:ascii="Times New Roman" w:eastAsia="Times New Roman" w:hAnsi="Times New Roman" w:cs="Times New Roman"/>
              </w:rPr>
              <w:t>Yecheon</w:t>
            </w:r>
            <w:proofErr w:type="spellEnd"/>
            <w:r w:rsidRPr="00E86256">
              <w:rPr>
                <w:rFonts w:ascii="Times New Roman" w:eastAsia="Times New Roman" w:hAnsi="Times New Roman" w:cs="Times New Roman"/>
              </w:rPr>
              <w:t xml:space="preserve">-gun, </w:t>
            </w:r>
            <w:proofErr w:type="spellStart"/>
            <w:r w:rsidRPr="00E86256">
              <w:rPr>
                <w:rFonts w:ascii="Times New Roman" w:eastAsia="Times New Roman" w:hAnsi="Times New Roman" w:cs="Times New Roman"/>
              </w:rPr>
              <w:t>Gyeongsangbuk</w:t>
            </w:r>
            <w:proofErr w:type="spellEnd"/>
            <w:r w:rsidRPr="00E86256">
              <w:rPr>
                <w:rFonts w:ascii="Times New Roman" w:eastAsia="Times New Roman" w:hAnsi="Times New Roman" w:cs="Times New Roman"/>
              </w:rPr>
              <w:t>-do, etc.)</w:t>
            </w:r>
          </w:p>
        </w:tc>
        <w:tc>
          <w:tcPr>
            <w:tcW w:w="4692"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Support for smart breeding facilities, material production and prototypes </w:t>
            </w:r>
          </w:p>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w:t>
            </w:r>
            <w:r w:rsidRPr="00E86256">
              <w:rPr>
                <w:rFonts w:ascii="Times New Roman" w:eastAsia="Times New Roman" w:hAnsi="Times New Roman" w:cs="Times New Roman"/>
              </w:rPr>
              <w:t>Building the Insect Industry Hub (2022-2024, 20 billion won, one more hub will be selected in 2023)</w:t>
            </w:r>
          </w:p>
        </w:tc>
      </w:tr>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Cambria Math" w:eastAsia="궁서" w:hAnsi="Cambria Math" w:cs="Cambria Math"/>
              </w:rPr>
              <w:t>⑤</w:t>
            </w:r>
            <w:r w:rsidRPr="00E86256">
              <w:rPr>
                <w:rFonts w:ascii="Times New Roman" w:eastAsia="궁서" w:hAnsi="Times New Roman" w:cs="Times New Roman"/>
              </w:rPr>
              <w:t>Natural products</w:t>
            </w:r>
          </w:p>
        </w:tc>
        <w:tc>
          <w:tcPr>
            <w:tcW w:w="2733"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Times New Roman" w:eastAsia="Times New Roman" w:hAnsi="Times New Roman" w:cs="Times New Roman"/>
              </w:rPr>
              <w:t>Natural Product Material Hub (to be selected in 2023)</w:t>
            </w:r>
          </w:p>
        </w:tc>
        <w:tc>
          <w:tcPr>
            <w:tcW w:w="4692"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Support for providing natural materials tailored to medicines, cosmetics and food </w:t>
            </w:r>
          </w:p>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Building the Natural Product Material Hub (2023-2027, 30 billion won)  </w:t>
            </w:r>
          </w:p>
        </w:tc>
      </w:tr>
      <w:tr w:rsidR="000E55EB" w:rsidRPr="00E86256" w:rsidTr="00963F86">
        <w:tc>
          <w:tcPr>
            <w:tcW w:w="1935"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Cambria Math" w:eastAsia="궁서" w:hAnsi="Cambria Math" w:cs="Cambria Math"/>
              </w:rPr>
              <w:t>⑥</w:t>
            </w:r>
            <w:r w:rsidRPr="00E86256">
              <w:rPr>
                <w:rFonts w:ascii="Times New Roman" w:eastAsia="궁서" w:hAnsi="Times New Roman" w:cs="Times New Roman"/>
              </w:rPr>
              <w:t>Food</w:t>
            </w:r>
          </w:p>
        </w:tc>
        <w:tc>
          <w:tcPr>
            <w:tcW w:w="2733" w:type="dxa"/>
            <w:shd w:val="clear" w:color="auto" w:fill="auto"/>
            <w:tcMar>
              <w:top w:w="100" w:type="dxa"/>
              <w:left w:w="100" w:type="dxa"/>
              <w:bottom w:w="100" w:type="dxa"/>
              <w:right w:w="100" w:type="dxa"/>
            </w:tcMar>
          </w:tcPr>
          <w:p w:rsidR="000E55EB" w:rsidRPr="00E86256" w:rsidRDefault="00963F86" w:rsidP="00E86256">
            <w:pPr>
              <w:jc w:val="both"/>
              <w:rPr>
                <w:rFonts w:ascii="Times New Roman" w:eastAsia="Times New Roman" w:hAnsi="Times New Roman" w:cs="Times New Roman"/>
              </w:rPr>
            </w:pPr>
            <w:r w:rsidRPr="00E86256">
              <w:rPr>
                <w:rFonts w:ascii="Times New Roman" w:eastAsia="Times New Roman" w:hAnsi="Times New Roman" w:cs="Times New Roman"/>
              </w:rPr>
              <w:t xml:space="preserve">National Food Cluster (Iksan-si, </w:t>
            </w:r>
            <w:proofErr w:type="spellStart"/>
            <w:r w:rsidRPr="00E86256">
              <w:rPr>
                <w:rFonts w:ascii="Times New Roman" w:eastAsia="Times New Roman" w:hAnsi="Times New Roman" w:cs="Times New Roman"/>
              </w:rPr>
              <w:t>Jeollabuk</w:t>
            </w:r>
            <w:proofErr w:type="spellEnd"/>
            <w:r w:rsidRPr="00E86256">
              <w:rPr>
                <w:rFonts w:ascii="Times New Roman" w:eastAsia="Times New Roman" w:hAnsi="Times New Roman" w:cs="Times New Roman"/>
              </w:rPr>
              <w:t>-do, in operation)</w:t>
            </w:r>
          </w:p>
        </w:tc>
        <w:tc>
          <w:tcPr>
            <w:tcW w:w="4692" w:type="dxa"/>
            <w:shd w:val="clear" w:color="auto" w:fill="auto"/>
            <w:tcMar>
              <w:top w:w="100" w:type="dxa"/>
              <w:left w:w="100" w:type="dxa"/>
              <w:bottom w:w="100" w:type="dxa"/>
              <w:right w:w="100" w:type="dxa"/>
            </w:tcMar>
          </w:tcPr>
          <w:p w:rsidR="000E55EB" w:rsidRPr="00E86256" w:rsidRDefault="00963F86" w:rsidP="00E86256">
            <w:pPr>
              <w:widowControl w:val="0"/>
              <w:pBdr>
                <w:top w:val="nil"/>
                <w:left w:val="nil"/>
                <w:bottom w:val="nil"/>
                <w:right w:val="nil"/>
                <w:between w:val="nil"/>
              </w:pBdr>
              <w:jc w:val="both"/>
              <w:rPr>
                <w:rFonts w:ascii="Times New Roman" w:eastAsia="Times New Roman" w:hAnsi="Times New Roman" w:cs="Times New Roman"/>
              </w:rPr>
            </w:pPr>
            <w:r w:rsidRPr="00E86256">
              <w:rPr>
                <w:rFonts w:ascii="Times New Roman" w:eastAsia="Times New Roman" w:hAnsi="Times New Roman" w:cs="Times New Roman"/>
              </w:rPr>
              <w:t xml:space="preserve">- Functional evaluation of food materials, support for commercialization such as sales channels and marketing </w:t>
            </w:r>
          </w:p>
        </w:tc>
      </w:tr>
    </w:tbl>
    <w:p w:rsidR="000E55EB" w:rsidRPr="00E86256" w:rsidRDefault="000E55EB" w:rsidP="00E86256">
      <w:pPr>
        <w:spacing w:line="360" w:lineRule="auto"/>
        <w:jc w:val="both"/>
        <w:rPr>
          <w:rFonts w:ascii="Times New Roman" w:eastAsia="Times New Roman" w:hAnsi="Times New Roman" w:cs="Times New Roman" w:hint="eastAsia"/>
        </w:rPr>
      </w:pP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963F86">
        <w:rPr>
          <w:rFonts w:ascii="Times New Roman" w:eastAsia="Times New Roman" w:hAnsi="Times New Roman" w:cs="Times New Roman"/>
          <w:b/>
          <w:bCs/>
          <w:highlight w:val="yellow"/>
        </w:rPr>
        <w:t xml:space="preserve">Material supply system will be established and provide comprehensive support for </w:t>
      </w:r>
      <w:r w:rsidRPr="00963F86">
        <w:rPr>
          <w:rFonts w:ascii="Times New Roman" w:eastAsia="Times New Roman" w:hAnsi="Times New Roman" w:cs="Times New Roman"/>
          <w:b/>
          <w:bCs/>
          <w:highlight w:val="yellow"/>
        </w:rPr>
        <w:t xml:space="preserve">entry into overseas markets and demand creation.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xml:space="preserve">MAFRA will support the establishment of cutting-edge farms (vertical farms etc.) dedicated to the crops used as raw materials for massive supply of materials (two facilities from 2023). </w:t>
      </w:r>
      <w:proofErr w:type="spellStart"/>
      <w:r w:rsidRPr="00E86256">
        <w:rPr>
          <w:rFonts w:ascii="Times New Roman" w:eastAsia="Times New Roman" w:hAnsi="Times New Roman" w:cs="Times New Roman"/>
        </w:rPr>
        <w:t>Biofoundry</w:t>
      </w:r>
      <w:proofErr w:type="spellEnd"/>
      <w:r w:rsidRPr="00E86256">
        <w:rPr>
          <w:rFonts w:ascii="Times New Roman" w:eastAsia="Times New Roman" w:hAnsi="Times New Roman" w:cs="Times New Roman"/>
        </w:rPr>
        <w:t xml:space="preserve"> faciliti</w:t>
      </w:r>
      <w:r w:rsidRPr="00E86256">
        <w:rPr>
          <w:rFonts w:ascii="Times New Roman" w:eastAsia="Times New Roman" w:hAnsi="Times New Roman" w:cs="Times New Roman"/>
        </w:rPr>
        <w:t xml:space="preserve">es that automate and accelerate material production and demonstration will also be built by 2028.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Overseas certification, registration and export customized support* for bio pesticides, fertilizers and functional food will be provided, while the plan that relates the use of green-</w:t>
      </w:r>
      <w:proofErr w:type="gramStart"/>
      <w:r w:rsidRPr="00E86256">
        <w:rPr>
          <w:rFonts w:ascii="Times New Roman" w:eastAsia="Times New Roman" w:hAnsi="Times New Roman" w:cs="Times New Roman"/>
        </w:rPr>
        <w:t>bio materials</w:t>
      </w:r>
      <w:proofErr w:type="gramEnd"/>
      <w:r w:rsidRPr="00E86256">
        <w:rPr>
          <w:rFonts w:ascii="Times New Roman" w:eastAsia="Times New Roman" w:hAnsi="Times New Roman" w:cs="Times New Roman"/>
        </w:rPr>
        <w:t xml:space="preserve"> to ESG index will be reviewed to encourage business demands</w:t>
      </w:r>
      <w:r w:rsidRPr="00E86256">
        <w:rPr>
          <w:rFonts w:ascii="Times New Roman" w:eastAsia="Times New Roman" w:hAnsi="Times New Roman" w:cs="Times New Roman"/>
        </w:rPr>
        <w:t xml:space="preserve">.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xml:space="preserve">* Offering information (markets, institutions), customs </w:t>
      </w:r>
      <w:proofErr w:type="spellStart"/>
      <w:r w:rsidRPr="00E86256">
        <w:rPr>
          <w:rFonts w:ascii="Times New Roman" w:eastAsia="Times New Roman" w:hAnsi="Times New Roman" w:cs="Times New Roman"/>
        </w:rPr>
        <w:t>clearance·quarantine·labeling</w:t>
      </w:r>
      <w:proofErr w:type="spellEnd"/>
      <w:r w:rsidRPr="00E86256">
        <w:rPr>
          <w:rFonts w:ascii="Times New Roman" w:eastAsia="Times New Roman" w:hAnsi="Times New Roman" w:cs="Times New Roman"/>
        </w:rPr>
        <w:t xml:space="preserve"> and marketing (consultation and fairs in overseas countries). </w:t>
      </w:r>
    </w:p>
    <w:p w:rsidR="000E55EB" w:rsidRPr="00E86256" w:rsidRDefault="000E55EB" w:rsidP="00E86256">
      <w:pPr>
        <w:spacing w:line="360" w:lineRule="auto"/>
        <w:jc w:val="both"/>
        <w:rPr>
          <w:rFonts w:ascii="Times New Roman" w:eastAsia="Times New Roman" w:hAnsi="Times New Roman" w:cs="Times New Roman"/>
        </w:rPr>
      </w:pPr>
    </w:p>
    <w:p w:rsidR="000E55EB" w:rsidRPr="00963F86" w:rsidRDefault="00963F86" w:rsidP="00963F86">
      <w:pPr>
        <w:widowControl w:val="0"/>
        <w:spacing w:line="360" w:lineRule="auto"/>
        <w:jc w:val="both"/>
        <w:rPr>
          <w:rFonts w:ascii="Times New Roman" w:eastAsia="Times New Roman" w:hAnsi="Times New Roman" w:cs="Times New Roman" w:hint="eastAsia"/>
          <w:b/>
          <w:bCs/>
        </w:rPr>
      </w:pPr>
      <w:r w:rsidRPr="00963F86">
        <w:rPr>
          <w:rFonts w:ascii="Times New Roman" w:eastAsia="Times New Roman" w:hAnsi="Times New Roman" w:cs="Times New Roman"/>
          <w:b/>
          <w:bCs/>
        </w:rPr>
        <w:t xml:space="preserve">2. Developing innovative technologies and nurturing human resources for convergence </w:t>
      </w:r>
    </w:p>
    <w:p w:rsidR="000E55EB" w:rsidRPr="00E86256" w:rsidRDefault="00963F86" w:rsidP="00E86256">
      <w:pPr>
        <w:spacing w:line="360" w:lineRule="auto"/>
        <w:jc w:val="both"/>
        <w:rPr>
          <w:rFonts w:ascii="Times New Roman" w:eastAsia="Times New Roman" w:hAnsi="Times New Roman" w:cs="Times New Roman" w:hint="eastAsia"/>
        </w:rPr>
      </w:pPr>
      <w:r w:rsidRPr="00E86256">
        <w:rPr>
          <w:rFonts w:ascii="Segoe UI Symbol" w:eastAsia="Times New Roman" w:hAnsi="Segoe UI Symbol" w:cs="Segoe UI Symbol"/>
        </w:rPr>
        <w:t>◇</w:t>
      </w:r>
      <w:r w:rsidRPr="00E86256">
        <w:rPr>
          <w:rFonts w:ascii="Times New Roman" w:eastAsia="Times New Roman" w:hAnsi="Times New Roman" w:cs="Times New Roman"/>
        </w:rPr>
        <w:t xml:space="preserve"> Support for p</w:t>
      </w:r>
      <w:r w:rsidRPr="00E86256">
        <w:rPr>
          <w:rFonts w:ascii="Times New Roman" w:eastAsia="Times New Roman" w:hAnsi="Times New Roman" w:cs="Times New Roman"/>
        </w:rPr>
        <w:t xml:space="preserve">roject-type research and development and innovative technology development that reflect business demands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Segoe UI Symbol" w:eastAsia="Times New Roman" w:hAnsi="Segoe UI Symbol" w:cs="Segoe UI Symbol"/>
        </w:rPr>
        <w:t>◇</w:t>
      </w:r>
      <w:r w:rsidRPr="00E86256">
        <w:rPr>
          <w:rFonts w:ascii="Times New Roman" w:eastAsia="Times New Roman" w:hAnsi="Times New Roman" w:cs="Times New Roman"/>
        </w:rPr>
        <w:t xml:space="preserve"> Nurturing professionals specialized in convergence (bio and IT) centering on startups </w:t>
      </w:r>
    </w:p>
    <w:p w:rsidR="000E55EB" w:rsidRPr="00E86256" w:rsidRDefault="000E55EB" w:rsidP="00E86256">
      <w:pPr>
        <w:spacing w:line="360" w:lineRule="auto"/>
        <w:jc w:val="both"/>
        <w:rPr>
          <w:rFonts w:ascii="Times New Roman" w:eastAsia="Times New Roman" w:hAnsi="Times New Roman" w:cs="Times New Roman"/>
          <w:highlight w:val="yellow"/>
        </w:rPr>
      </w:pP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963F86">
        <w:rPr>
          <w:rFonts w:ascii="Times New Roman" w:eastAsia="Times New Roman" w:hAnsi="Times New Roman" w:cs="Times New Roman"/>
          <w:b/>
          <w:bCs/>
          <w:highlight w:val="yellow"/>
        </w:rPr>
        <w:t>Expand R&amp;D in core technology areas and encourage businesse</w:t>
      </w:r>
      <w:r w:rsidRPr="00963F86">
        <w:rPr>
          <w:rFonts w:ascii="Times New Roman" w:eastAsia="Times New Roman" w:hAnsi="Times New Roman" w:cs="Times New Roman"/>
          <w:b/>
          <w:bCs/>
          <w:highlight w:val="yellow"/>
        </w:rPr>
        <w:t xml:space="preserve">s’ participation.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xml:space="preserve">* Microbiome, digital breeding, </w:t>
      </w:r>
      <w:proofErr w:type="spellStart"/>
      <w:r w:rsidRPr="00E86256">
        <w:rPr>
          <w:rFonts w:ascii="Times New Roman" w:eastAsia="Times New Roman" w:hAnsi="Times New Roman" w:cs="Times New Roman"/>
        </w:rPr>
        <w:t>biofeed·pesticides·fertilizers</w:t>
      </w:r>
      <w:proofErr w:type="spellEnd"/>
      <w:r w:rsidRPr="00E86256">
        <w:rPr>
          <w:rFonts w:ascii="Times New Roman" w:eastAsia="Times New Roman" w:hAnsi="Times New Roman" w:cs="Times New Roman"/>
        </w:rPr>
        <w:t>, veterinary medicines, fermentation product material development</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On twelve key technologies, short-term project-type R&amp;D that businesses need will be expanded to 118.4 billi</w:t>
      </w:r>
      <w:r w:rsidRPr="00E86256">
        <w:rPr>
          <w:rFonts w:ascii="Times New Roman" w:eastAsia="Times New Roman" w:hAnsi="Times New Roman" w:cs="Times New Roman"/>
        </w:rPr>
        <w:t xml:space="preserve">on in 2023, and a roadmap (preliminary feasibility study, etc.) will be developed and implemented for the sectors that require long-term investment (digital breeding etc.).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With regard to R&amp;D planning, projects with marketability, such as technology com</w:t>
      </w:r>
      <w:r w:rsidRPr="00E86256">
        <w:rPr>
          <w:rFonts w:ascii="Times New Roman" w:eastAsia="Times New Roman" w:hAnsi="Times New Roman" w:cs="Times New Roman"/>
        </w:rPr>
        <w:t xml:space="preserve">mercialization, will be expanded, and special taxation on green-bio R&amp;D will also be more broadly applied.  </w:t>
      </w:r>
    </w:p>
    <w:p w:rsidR="000E55EB" w:rsidRPr="00E86256" w:rsidRDefault="000E55EB" w:rsidP="00E86256">
      <w:pPr>
        <w:spacing w:line="360" w:lineRule="auto"/>
        <w:jc w:val="both"/>
        <w:rPr>
          <w:rFonts w:ascii="Times New Roman" w:eastAsia="Times New Roman" w:hAnsi="Times New Roman" w:cs="Times New Roman"/>
        </w:rPr>
      </w:pP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963F86">
        <w:rPr>
          <w:rFonts w:ascii="Times New Roman" w:eastAsia="Times New Roman" w:hAnsi="Times New Roman" w:cs="Times New Roman"/>
          <w:b/>
          <w:bCs/>
          <w:highlight w:val="yellow"/>
        </w:rPr>
        <w:t xml:space="preserve">Nurture professionals specialized in convergence for each area (research, industry, service).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highlight w:val="yellow"/>
        </w:rPr>
        <w:t xml:space="preserve">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Green-bio researchers will be nurtured through 16</w:t>
      </w:r>
      <w:r w:rsidRPr="00E86256">
        <w:rPr>
          <w:rFonts w:ascii="Times New Roman" w:eastAsia="Times New Roman" w:hAnsi="Times New Roman" w:cs="Times New Roman"/>
        </w:rPr>
        <w:t xml:space="preserve"> education and research teams of BK21 and R&amp;D project (hiring one person per 500 million won), and human resources for the industry will be fostered through contracted departments at 4 universities, convergence department and specialized graduate schools. </w:t>
      </w:r>
      <w:r w:rsidRPr="00E86256">
        <w:rPr>
          <w:rFonts w:ascii="Times New Roman" w:eastAsia="Times New Roman" w:hAnsi="Times New Roman" w:cs="Times New Roman"/>
        </w:rPr>
        <w:t xml:space="preserve">New types of personnel, such as bio data coordinator and safety production manager will also be nurtured.  </w:t>
      </w:r>
    </w:p>
    <w:p w:rsidR="000E55EB" w:rsidRPr="00E86256" w:rsidRDefault="000E55EB" w:rsidP="00E86256">
      <w:pPr>
        <w:spacing w:line="360" w:lineRule="auto"/>
        <w:jc w:val="both"/>
        <w:rPr>
          <w:rFonts w:ascii="Times New Roman" w:eastAsia="Times New Roman" w:hAnsi="Times New Roman" w:cs="Times New Roman"/>
        </w:rPr>
      </w:pP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963F86">
        <w:rPr>
          <w:rFonts w:ascii="Times New Roman" w:eastAsia="Times New Roman" w:hAnsi="Times New Roman" w:cs="Times New Roman"/>
          <w:b/>
          <w:bCs/>
          <w:highlight w:val="yellow"/>
        </w:rPr>
        <w:t xml:space="preserve">Support startups that utilize promising green-bio technologies.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MAFRA plans to provide comprehensive support for startups from prototype developm</w:t>
      </w:r>
      <w:r w:rsidRPr="00E86256">
        <w:rPr>
          <w:rFonts w:ascii="Times New Roman" w:eastAsia="Times New Roman" w:hAnsi="Times New Roman" w:cs="Times New Roman"/>
        </w:rPr>
        <w:t xml:space="preserve">ent, marketing and research facilities by </w:t>
      </w:r>
      <w:proofErr w:type="gramStart"/>
      <w:r w:rsidRPr="00E86256">
        <w:rPr>
          <w:rFonts w:ascii="Times New Roman" w:eastAsia="Times New Roman" w:hAnsi="Times New Roman" w:cs="Times New Roman"/>
        </w:rPr>
        <w:t>establishing  green</w:t>
      </w:r>
      <w:proofErr w:type="gramEnd"/>
      <w:r w:rsidRPr="00E86256">
        <w:rPr>
          <w:rFonts w:ascii="Times New Roman" w:eastAsia="Times New Roman" w:hAnsi="Times New Roman" w:cs="Times New Roman"/>
        </w:rPr>
        <w:t>-bio venture campuses in Iksan-si, Pohang-</w:t>
      </w:r>
      <w:proofErr w:type="spellStart"/>
      <w:r w:rsidRPr="00E86256">
        <w:rPr>
          <w:rFonts w:ascii="Times New Roman" w:eastAsia="Times New Roman" w:hAnsi="Times New Roman" w:cs="Times New Roman"/>
        </w:rPr>
        <w:t>si</w:t>
      </w:r>
      <w:proofErr w:type="spellEnd"/>
      <w:r w:rsidRPr="00E86256">
        <w:rPr>
          <w:rFonts w:ascii="Times New Roman" w:eastAsia="Times New Roman" w:hAnsi="Times New Roman" w:cs="Times New Roman"/>
        </w:rPr>
        <w:t xml:space="preserve"> and </w:t>
      </w:r>
      <w:proofErr w:type="spellStart"/>
      <w:r w:rsidRPr="00E86256">
        <w:rPr>
          <w:rFonts w:ascii="Times New Roman" w:eastAsia="Times New Roman" w:hAnsi="Times New Roman" w:cs="Times New Roman"/>
        </w:rPr>
        <w:t>Pyeongchang</w:t>
      </w:r>
      <w:proofErr w:type="spellEnd"/>
      <w:r w:rsidRPr="00E86256">
        <w:rPr>
          <w:rFonts w:ascii="Times New Roman" w:eastAsia="Times New Roman" w:hAnsi="Times New Roman" w:cs="Times New Roman"/>
        </w:rPr>
        <w:t>-</w:t>
      </w:r>
      <w:r w:rsidRPr="00E86256">
        <w:rPr>
          <w:rFonts w:ascii="Times New Roman" w:eastAsia="Times New Roman" w:hAnsi="Times New Roman" w:cs="Times New Roman"/>
        </w:rPr>
        <w:lastRenderedPageBreak/>
        <w:t>gun. For continuous growth of startups, networks with startup support centers will be strengthened and accelerators will also be encou</w:t>
      </w:r>
      <w:r w:rsidRPr="00E86256">
        <w:rPr>
          <w:rFonts w:ascii="Times New Roman" w:eastAsia="Times New Roman" w:hAnsi="Times New Roman" w:cs="Times New Roman"/>
        </w:rPr>
        <w:t xml:space="preserve">raged to take part in the efforts. </w:t>
      </w:r>
    </w:p>
    <w:p w:rsidR="000E55EB" w:rsidRPr="00E86256" w:rsidRDefault="000E55EB" w:rsidP="00E86256">
      <w:pPr>
        <w:spacing w:line="360" w:lineRule="auto"/>
        <w:jc w:val="both"/>
        <w:rPr>
          <w:rFonts w:ascii="Times New Roman" w:eastAsia="Times New Roman" w:hAnsi="Times New Roman" w:cs="Times New Roman" w:hint="eastAsia"/>
        </w:rPr>
      </w:pPr>
    </w:p>
    <w:p w:rsidR="000E55EB" w:rsidRPr="00963F86" w:rsidRDefault="00963F86" w:rsidP="00E86256">
      <w:pPr>
        <w:spacing w:line="360" w:lineRule="auto"/>
        <w:jc w:val="both"/>
        <w:rPr>
          <w:rFonts w:ascii="Times New Roman" w:eastAsia="Times New Roman" w:hAnsi="Times New Roman" w:cs="Times New Roman" w:hint="eastAsia"/>
          <w:b/>
          <w:bCs/>
        </w:rPr>
      </w:pPr>
      <w:r w:rsidRPr="00963F86">
        <w:rPr>
          <w:rFonts w:ascii="Times New Roman" w:eastAsia="Times New Roman" w:hAnsi="Times New Roman" w:cs="Times New Roman"/>
          <w:b/>
          <w:bCs/>
        </w:rPr>
        <w:t xml:space="preserve">3. Establishing green-bio industry ecosystem </w:t>
      </w:r>
    </w:p>
    <w:p w:rsidR="000E55EB" w:rsidRPr="00963F86" w:rsidRDefault="00963F86" w:rsidP="00E86256">
      <w:pPr>
        <w:spacing w:line="360" w:lineRule="auto"/>
        <w:jc w:val="both"/>
        <w:rPr>
          <w:rFonts w:ascii="Times New Roman" w:eastAsia="Times New Roman" w:hAnsi="Times New Roman" w:cs="Times New Roman" w:hint="eastAsia"/>
        </w:rPr>
      </w:pPr>
      <w:r w:rsidRPr="00E86256">
        <w:rPr>
          <w:rFonts w:ascii="Segoe UI Symbol" w:eastAsia="Times New Roman" w:hAnsi="Segoe UI Symbol" w:cs="Segoe UI Symbol"/>
        </w:rPr>
        <w:t>◇</w:t>
      </w:r>
      <w:r w:rsidRPr="00E86256">
        <w:rPr>
          <w:rFonts w:ascii="Times New Roman" w:eastAsia="Times New Roman" w:hAnsi="Times New Roman" w:cs="Times New Roman"/>
        </w:rPr>
        <w:t xml:space="preserve"> Promoting digital transformation of green-bio companies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Segoe UI Symbol" w:eastAsia="Times New Roman" w:hAnsi="Segoe UI Symbol" w:cs="Segoe UI Symbol"/>
        </w:rPr>
        <w:t>◇</w:t>
      </w:r>
      <w:r w:rsidRPr="00E86256">
        <w:rPr>
          <w:rFonts w:ascii="Times New Roman" w:eastAsia="Times New Roman" w:hAnsi="Times New Roman" w:cs="Times New Roman"/>
        </w:rPr>
        <w:t xml:space="preserve"> Introducing institutions and implementing innovative regulations to create demand in the green-bio industry </w:t>
      </w: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E86256">
        <w:rPr>
          <w:rFonts w:ascii="Times New Roman" w:eastAsia="Times New Roman" w:hAnsi="Times New Roman" w:cs="Times New Roman"/>
          <w:highlight w:val="yellow"/>
        </w:rPr>
        <w:br/>
      </w:r>
      <w:r w:rsidRPr="00963F86">
        <w:rPr>
          <w:rFonts w:ascii="Times New Roman" w:eastAsia="Times New Roman" w:hAnsi="Times New Roman" w:cs="Times New Roman"/>
          <w:b/>
          <w:bCs/>
          <w:highlight w:val="yellow"/>
        </w:rPr>
        <w:t xml:space="preserve">Promote digital transformation by supporting consumer-oriented data collection and use.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More data from the National Agricultural Biotechnology</w:t>
      </w:r>
      <w:r w:rsidRPr="00E86256">
        <w:rPr>
          <w:rFonts w:ascii="Times New Roman" w:eastAsia="Times New Roman" w:hAnsi="Times New Roman" w:cs="Times New Roman"/>
        </w:rPr>
        <w:t xml:space="preserve"> Information Center will be opened to the public, and data standardization and analysis service using high performance computing* will be offered so that businesses can utilize them.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Cardo" w:hAnsi="Times New Roman" w:cs="Times New Roman"/>
        </w:rPr>
        <w:t>*3,000 resource genome of rice (including rice flour) information anal</w:t>
      </w:r>
      <w:r w:rsidRPr="00E86256">
        <w:rPr>
          <w:rFonts w:ascii="Times New Roman" w:eastAsia="Cardo" w:hAnsi="Times New Roman" w:cs="Times New Roman"/>
        </w:rPr>
        <w:t xml:space="preserve">ysis period: (conventional) 3 months → (high performance computing) 2 weeks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In addition, the system that sells materials (functional raw materials, microbial strains, etc.) companies desire will be run by utilizing useful microorganism banks and function</w:t>
      </w:r>
      <w:r w:rsidRPr="00E86256">
        <w:rPr>
          <w:rFonts w:ascii="Times New Roman" w:eastAsia="Times New Roman" w:hAnsi="Times New Roman" w:cs="Times New Roman"/>
        </w:rPr>
        <w:t xml:space="preserve">al raw material banks from 2023, while also implementing data R&amp;D. </w:t>
      </w:r>
    </w:p>
    <w:p w:rsidR="000E55EB" w:rsidRPr="00E86256" w:rsidRDefault="000E55EB" w:rsidP="00E86256">
      <w:pPr>
        <w:spacing w:line="360" w:lineRule="auto"/>
        <w:jc w:val="both"/>
        <w:rPr>
          <w:rFonts w:ascii="Times New Roman" w:eastAsia="Times New Roman" w:hAnsi="Times New Roman" w:cs="Times New Roman"/>
        </w:rPr>
      </w:pP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963F86">
        <w:rPr>
          <w:rFonts w:ascii="Times New Roman" w:eastAsia="Times New Roman" w:hAnsi="Times New Roman" w:cs="Times New Roman"/>
          <w:b/>
          <w:bCs/>
          <w:highlight w:val="yellow"/>
        </w:rPr>
        <w:t>Drive demand by introducing a public preferential purchasing system for green-bio products.</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The system to implement preferential purchasing of green-bio products such as functional foods</w:t>
      </w:r>
      <w:r w:rsidRPr="00E86256">
        <w:rPr>
          <w:rFonts w:ascii="Times New Roman" w:eastAsia="Times New Roman" w:hAnsi="Times New Roman" w:cs="Times New Roman"/>
        </w:rPr>
        <w:t xml:space="preserve"> (school meals, corporate cafeterias etc.), microbial fertilizers and pesticides (landscape, etc.) by public institutions will be legislated by 2023, and the classification system and preferential purchasing criteria for green-bio products will be specifie</w:t>
      </w:r>
      <w:r w:rsidRPr="00E86256">
        <w:rPr>
          <w:rFonts w:ascii="Times New Roman" w:eastAsia="Times New Roman" w:hAnsi="Times New Roman" w:cs="Times New Roman"/>
        </w:rPr>
        <w:t xml:space="preserve">d. </w:t>
      </w: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The public institutions’ requirement of preferential purchasing will be described in the “Green-bio Industry Promotion Act (tentative).”</w:t>
      </w:r>
    </w:p>
    <w:p w:rsidR="000E55EB" w:rsidRPr="00E86256" w:rsidRDefault="000E55EB" w:rsidP="00E86256">
      <w:pPr>
        <w:spacing w:line="360" w:lineRule="auto"/>
        <w:jc w:val="both"/>
        <w:rPr>
          <w:rFonts w:ascii="Times New Roman" w:eastAsia="Times New Roman" w:hAnsi="Times New Roman" w:cs="Times New Roman"/>
          <w:highlight w:val="yellow"/>
        </w:rPr>
      </w:pPr>
    </w:p>
    <w:p w:rsidR="000E55EB" w:rsidRPr="00963F86" w:rsidRDefault="00963F86" w:rsidP="00E86256">
      <w:pPr>
        <w:spacing w:line="360" w:lineRule="auto"/>
        <w:jc w:val="both"/>
        <w:rPr>
          <w:rFonts w:ascii="Times New Roman" w:eastAsia="Times New Roman" w:hAnsi="Times New Roman" w:cs="Times New Roman"/>
          <w:b/>
          <w:bCs/>
          <w:highlight w:val="yellow"/>
        </w:rPr>
      </w:pPr>
      <w:r w:rsidRPr="00963F86">
        <w:rPr>
          <w:rFonts w:ascii="Times New Roman" w:eastAsia="Times New Roman" w:hAnsi="Times New Roman" w:cs="Times New Roman"/>
          <w:b/>
          <w:bCs/>
          <w:highlight w:val="yellow"/>
        </w:rPr>
        <w:t xml:space="preserve">Establish a public platform for resolving challenges such as regulatory issues in the green-bio industry.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A co</w:t>
      </w:r>
      <w:r w:rsidRPr="00E86256">
        <w:rPr>
          <w:rFonts w:ascii="Times New Roman" w:eastAsia="Times New Roman" w:hAnsi="Times New Roman" w:cs="Times New Roman"/>
        </w:rPr>
        <w:t xml:space="preserve">nsultative body for the development of the green-bio industry participated by the government, businesses and related institutions will be formed so that the public and private can collaborate on </w:t>
      </w:r>
      <w:r w:rsidRPr="00E86256">
        <w:rPr>
          <w:rFonts w:ascii="Times New Roman" w:eastAsia="Times New Roman" w:hAnsi="Times New Roman" w:cs="Times New Roman"/>
        </w:rPr>
        <w:lastRenderedPageBreak/>
        <w:t>innovative regulations, information sharing and strengthening</w:t>
      </w:r>
      <w:r w:rsidRPr="00E86256">
        <w:rPr>
          <w:rFonts w:ascii="Times New Roman" w:eastAsia="Times New Roman" w:hAnsi="Times New Roman" w:cs="Times New Roman"/>
        </w:rPr>
        <w:t xml:space="preserve"> networks among businesses to support businesses’ international competitiveness.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b/>
        </w:rPr>
      </w:pPr>
      <w:r w:rsidRPr="00E86256">
        <w:rPr>
          <w:rFonts w:ascii="Times New Roman" w:eastAsia="Times New Roman" w:hAnsi="Times New Roman" w:cs="Times New Roman"/>
          <w:b/>
        </w:rPr>
        <w:t xml:space="preserve">Ⅲ. Implementation system and expected results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 xml:space="preserve">MAFRA plans to support stable implementation of policies by legislating the “Green-bio Industry Promotion Act (tentative),” while also organizing domestic and foreign industrial statistics in a consistent manner so that companies can utilize them.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963F86" w:rsidP="00E86256">
      <w:pPr>
        <w:spacing w:line="360" w:lineRule="auto"/>
        <w:jc w:val="both"/>
        <w:rPr>
          <w:rFonts w:ascii="Times New Roman" w:eastAsia="Times New Roman" w:hAnsi="Times New Roman" w:cs="Times New Roman"/>
        </w:rPr>
      </w:pPr>
      <w:r w:rsidRPr="00E86256">
        <w:rPr>
          <w:rFonts w:ascii="Times New Roman" w:eastAsia="Times New Roman" w:hAnsi="Times New Roman" w:cs="Times New Roman"/>
        </w:rPr>
        <w:t>Minis</w:t>
      </w:r>
      <w:r w:rsidRPr="00E86256">
        <w:rPr>
          <w:rFonts w:ascii="Times New Roman" w:eastAsia="Times New Roman" w:hAnsi="Times New Roman" w:cs="Times New Roman"/>
        </w:rPr>
        <w:t>ter Chung Hwang-</w:t>
      </w:r>
      <w:proofErr w:type="spellStart"/>
      <w:r w:rsidRPr="00E86256">
        <w:rPr>
          <w:rFonts w:ascii="Times New Roman" w:eastAsia="Times New Roman" w:hAnsi="Times New Roman" w:cs="Times New Roman"/>
        </w:rPr>
        <w:t>keun</w:t>
      </w:r>
      <w:proofErr w:type="spellEnd"/>
      <w:r w:rsidRPr="00E86256">
        <w:rPr>
          <w:rFonts w:ascii="Times New Roman" w:eastAsia="Times New Roman" w:hAnsi="Times New Roman" w:cs="Times New Roman"/>
        </w:rPr>
        <w:t xml:space="preserve"> of Agriculture, Food and Rural Affairs said, “I expect that the opportunities for further growth that creates high added value will be provided with a new value chain structure of agriculture and food industry through systematic implem</w:t>
      </w:r>
      <w:r w:rsidRPr="00E86256">
        <w:rPr>
          <w:rFonts w:ascii="Times New Roman" w:eastAsia="Times New Roman" w:hAnsi="Times New Roman" w:cs="Times New Roman"/>
        </w:rPr>
        <w:t xml:space="preserve">entation of the Strategy to Foster Green-bio Industry. The Strategy will enable businesses’ proactive entry into overseas markets and </w:t>
      </w:r>
      <w:r>
        <w:rPr>
          <w:rFonts w:ascii="Times New Roman" w:eastAsia="Times New Roman" w:hAnsi="Times New Roman" w:cs="Times New Roman"/>
        </w:rPr>
        <w:t xml:space="preserve">the country’s </w:t>
      </w:r>
      <w:r w:rsidRPr="00E86256">
        <w:rPr>
          <w:rFonts w:ascii="Times New Roman" w:eastAsia="Times New Roman" w:hAnsi="Times New Roman" w:cs="Times New Roman"/>
        </w:rPr>
        <w:t>sustainable growth through carbon reduction</w:t>
      </w:r>
      <w:r w:rsidRPr="00E86256">
        <w:rPr>
          <w:rFonts w:ascii="Times New Roman" w:eastAsia="Times New Roman" w:hAnsi="Times New Roman" w:cs="Times New Roman"/>
        </w:rPr>
        <w:t xml:space="preserve">.”   </w:t>
      </w:r>
    </w:p>
    <w:p w:rsidR="000E55EB" w:rsidRPr="00E86256" w:rsidRDefault="000E55EB" w:rsidP="00E86256">
      <w:pPr>
        <w:spacing w:line="360" w:lineRule="auto"/>
        <w:jc w:val="both"/>
        <w:rPr>
          <w:rFonts w:ascii="Times New Roman" w:eastAsia="Times New Roman" w:hAnsi="Times New Roman" w:cs="Times New Roman"/>
        </w:rPr>
      </w:pPr>
    </w:p>
    <w:p w:rsidR="000E55EB" w:rsidRPr="00E86256" w:rsidRDefault="000E55EB" w:rsidP="00E86256">
      <w:pPr>
        <w:spacing w:line="360" w:lineRule="auto"/>
        <w:jc w:val="both"/>
        <w:rPr>
          <w:rFonts w:ascii="Times New Roman" w:eastAsia="Times New Roman" w:hAnsi="Times New Roman" w:cs="Times New Roman" w:hint="eastAsia"/>
        </w:rPr>
      </w:pPr>
    </w:p>
    <w:sectPr w:rsidR="000E55EB" w:rsidRPr="00E862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궁서">
    <w:altName w:val="Gungsuh"/>
    <w:panose1 w:val="02030600000101010101"/>
    <w:charset w:val="81"/>
    <w:family w:val="roman"/>
    <w:pitch w:val="variable"/>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rd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5EB"/>
    <w:rsid w:val="000E55EB"/>
    <w:rsid w:val="00963F86"/>
    <w:rsid w:val="00E8625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6F4BF9A6"/>
  <w15:docId w15:val="{A8BC1EC7-0AF1-124F-AA67-12C0E0E02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1958</Words>
  <Characters>11161</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한송이</cp:lastModifiedBy>
  <cp:revision>2</cp:revision>
  <dcterms:created xsi:type="dcterms:W3CDTF">2023-02-24T00:42:00Z</dcterms:created>
  <dcterms:modified xsi:type="dcterms:W3CDTF">2023-02-24T00:58:00Z</dcterms:modified>
</cp:coreProperties>
</file>